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28"/>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in molecular evolution, we present CKI (Cell-state Kinetic Index), which decomposes transcriptomic divergence into a baseline rate k_n (housekeeping genes) and a functional rate k_f (identity genes), with ω = k_f/k_n quantifying baseline-normalized functional divergence. We validated CKI across four datasets: the Tabula Muris mouse atlas, Tabula Sapiens human atlas, TCGA pan-cancer data, and a human brain single-nucleus atlas from millions of cells. Calibration confirmed an empirical baseline for equivalent populations (mean ω = 6.67, 95% bootstrap CI [4.12, 9.33], all P &gt; 0.05), inflated above theoretical unity by highly variable gene selection. CKI ω was negatively correlated with all standard distance metrics (Spearman r = −0.36 to −0.46, all P &lt; 0.001), indicating it captures an independent information dimension. Cancer analysis revealed transcriptional convergence across genetically diverse tumors. Brain analysis revealed a 6.9-fold regional differentiation gradient across 10 non-neuronal cell classes; under a strict block-shuffle null, no candidate survived false-discovery-rate correction, positioning brain candidates as hypothesis-generating. CKI provides a principled framework for quantifying functional divergence against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40).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non-neuronal cell classes differ across brain regions. The analysis revealed a significant 6.9-fold regional differentiation gradient and a screen of anomalously similar cell-type/region-pair candidates; because no candidate survived false-discovery-rate correction under a strict block-shuffle null that preserves the cell-type-by-region design, we present the brain candidates as hypothesis-generating signals for future lineage-tracing validation rather than confirmed discoveries.</w:t>
      </w:r>
    </w:p>
    <w:p>
      <w:pPr>
        <w:pStyle w:val="Heading1"/>
        <w:spacing w:before="420" w:after="160"/>
      </w:pPr>
      <w:r>
        <w:rPr>
          <w:rFonts w:ascii="Arial" w:hAnsi="Arial"/>
          <w:color w:val="000000"/>
          <w:sz w:val="28"/>
          <w:b/>
        </w:rPr>
        <w:t>Materials and 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(42) uses the base-2 logarithm (range [0, 1]).</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(105,723), committed oligodendrocyte precursors (4,118), microglia (91,826), vascular cells (9,586), fibroblasts (8,897), ependymal cells (5,779), choroid plexus (7,643), and Bergmann glia (7,965); after filtering, 886,808 nuclei contributed to the analysis. We required &gt;= 20 nuclei per (region, cell_type) group and &gt;= 50 nuclei per region. Pseudobulk vectors were computed as cell-count-weighted means of per-library (10x sample) mean expression vectors per (region, cell_type)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over all 31,764 pairs (32.56).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was randomly permuted across libraries (preserving the observed per-region library-count structure), after which region pseudobulks, all 31,764 pair ω values, and multiplicative residuals were recomputed. Because each library's cells and cell-type composition move together, this null retains library-level structure and per-region block sizes while breaking the association between cells and region identity; it is therefore markedly more conservative than per-cell label shuffling, which ignores the block structure of the experiment. B = 1,000 permutations were run (minimum resolvable P = 1/1,001 ≈ 9.99 × 10⁻⁴). Per-pair empirical P-values were computed with the one-sided lower-tail formula P = (count(ω_null ≤ ω_obs) + 1)/(B + 1), the appropriate direction because migration candidates are defined by anomalously low ω. Benjamini-Hochberg FDR correction was applied across all m = 31,764 pairs. No pair reached q &lt; 0.05 (minimum q = 0.949); consequently, no individual candidate is claimed as a statistically confirmed discovery. The 37 Strong-tier pairs with raw P &lt; 0.05 are reported as hypothesis-generating signals, prioritized for future lineage-tracing validation. Per-signal tests are not independent (the same cell type or region pair appears in multiple comparisons); interpretation is therefore restricted to the predefined Strong tier rather than the full 31,764 search space. In addition, a cell-type-level test asked whether regional structure significantly raises a cell type's mean ω relative to the block-shuffle null (one-sided upper-tail P across the same B = 1,000 permutations).</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3.13.12 with scanpy &gt;= 1.9.0 (14), scipy &gt;= 1.10.0, numpy &gt;= 1.23.0, pandas &gt;= 1.5.0, matplotlib &gt;= 3.6.0, seaborn (46) &gt;= 0.12.0, and scikit-learn (45)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(43)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1.0 × 10⁻³, at the resolution limit;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2.10; mouse: 0.98; human: 1.17)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0.786,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4"/>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400-fold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the brain global mean becomes ω_cal = 4.88 (raw 32.56), and astrocytes—the most regionally divergent brain cell type—yield ω_cal = 11.52 (raw 76.83). Even the most constrained class, Bergmann glia, remains above the empirical baseline (ω_cal = 1.67, raw 11.17), indicating that essentially all non-neuronal classes carry regional differentiation signal beyond the split-half baseline of equivalent populations. The calibrated values are reported alongside raw ω in all key results and Supplementary Figures 8–12. The calibrate_omega() function is available in the CKI package.</w:t>
      </w:r>
    </w:p>
    <w:p>
      <w:pPr>
        <w:pStyle w:val="Heading2"/>
        <w:spacing w:before="420" w:after="160"/>
      </w:pPr>
      <w:r>
        <w:rPr>
          <w:rFonts w:ascii="Arial" w:hAnsi="Arial"/>
          <w:color w:val="000000"/>
          <w:sz w:val="24"/>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92.89%), and the Spearman correlation between per-pair ω and global-k_n ω was only 0.181 (P = 9.38e-232),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r = -0.36 to -0.46, all P &lt; 0.001). In contrast, the four standard metrics formed a tight positive cluster (pairwise r = 0.57–0.93).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below Spearman distance at AUC = 0.690 and below cosine distance at AUC = 0.887; Table 1; Supplementary Fig. S4). This lower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4"/>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Liver cancer (LIHC) showed the smallest contrast (median NN/TT = 1.23), while lung adenocarcinoma (LUAD) showed the largest (median NN/TT = 2.32), with intermediate values for breast cancer (BRCA 1.51), lung squamous (LUSC 1.77), and kidney clear cell (KIRC 2.19).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(73.5 ± 15.6, n = 39) &gt; G2 (67.0 ± 17.7, n = 133) &gt; G3 (66.2 ± 17.1, n = 105) ≈ G4 (66.2 ± 24.5, n = 11; Jonckheere-Terpstra trend test, P &lt; 0.0001). In breast cancer, PAM50 subtype analysis (20,21) revealed a gradient of transcriptional heterogeneity: Luminal A tumors had the highest intratumoral ω (123.4 ± 36.2, n = 224), followed by Luminal B (116.6 ± 26.9, n = 123), HER2-enriched (103.1 ± 29.4, n = 55), and Basal-like tumors (97.8 ± 27.1, n = 97), with Normal-like tumors having the lowest ω (90.5 ± 44.6, n = 7; Kruskal-Wallis, P = 7.9 × 10⁻¹⁰). Lung adenocarcinoma mutation stratification showed significant differences (Kruskal-Wallis, P = 2.1 × 10⁻⁶), with KRAS-mutant (118.1 ± 27.7, n = 120) and EGFR-mutant tumors (107.0 ± 24.8, n = 61) exhibiting higher ω than wild-type tumors (100.5 ± 33.9,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Hepatocytes (mean ω = 8.57, n = 1) and B cells (mean ω = 9.36, n = 1) were among the most conserved, followed by CD8+ T cells (mean 9.93 ± 4.62, n = 6) and Plasma cells (mean 10.20 ± 2.03, n = 6). Macrophages, the most abundant cell type in cross-organ comparisons (n = 15), showed intermediate conservation (mean 15.49 ± 8.46). At the divergent end of the spectrum, Endothelial cells (mean 26.25 ± 8.59, n = 3) and Erythrocytes (mean 29.36 ± 23.07, n = 3)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4"/>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886,808 nuclei in groups passing the &gt;= 20-nuclei filter contributed to the analysis.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 Supplementary Fig. S6).</w:t>
      </w:r>
    </w:p>
    <w:p>
      <w:pPr>
        <w:spacing w:line="276" w:lineRule="auto" w:after="80"/>
        <w:ind w:firstLine="0"/>
      </w:pPr>
      <w:r>
        <w:rPr>
          <w:rFonts w:ascii="Arial" w:hAnsi="Arial"/>
          <w:b w:val="0"/>
          <w:i w:val="0"/>
          <w:color w:val="000000"/>
          <w:sz w:val="22"/>
        </w:rPr>
        <w:t>The analysis revealed a pronounced differentiation gradient spanning 6.88-fold. Bergmann glia showed the lowest mean ω (11.17 ± 3.50, n = 21 pairs across 7 regions), followed by vascular cells (12.60 ± 4.03, n = 3,321 pairs across 82 regions), microglia (13.50 ± 5.07, n = 5,671 pairs across 107 regions), fibroblasts (13.99 ± 4.43, n = 3,403 pairs across 83 regions), and ependymal cells (14.52 ± 4.61, n = 780 pairs across 40 regions). Oligodendrocyte precursors (22.56 ± 14.55, n = 5,671 pairs across 107 regions) and committed oligodendrocyte precursors (30.57 ± 14.78, n = 1,326 pairs across 52 regions) showed intermediate divergence. Oligodendrocytes (42.22 ± 23.84, n = 5,778 pairs across 108 regions) and astrocytes (76.83 ± 41.87, n = 5,778 pairs across 108 regions) were the most regionally divergent, astrocytes showing a 6.88-fold increase over Bergmann glia. Choroid plexus (33.97 ± 35.89, n = 15 pairs across 6 regions) was too sparsely sampled to rank reliably.</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9 of 10 cell classes, regional structure significantly raised the mean ω relative to the null (one-sided P = 9.99 × 10⁻⁴, standardized effect sizes 4.8–15.8). The exception was choroid plexus (P = 0.76, n = 15 pairs), and Bergmann glia reached only marginal significance (P = 0.031, SES = 2.0, n = 21 pairs), reflecting their limited number of comparisons. The differentiation gradient is therefore statistically robust at the cell-class level.</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(34) and meningeal structures (35) impose similar constraints regardless of anatomical location. Their low ω values suggest a conserved core transcriptional program with limited regional adaptation. Microglia, the brain's resident immune cells, showed low-to-intermediate divergence: while microglial phenotypes vary regionally, their core surveillance and phagocytic machinery is shared. Oligodendrocytes must myelinate diverse axonal populations and adjust internode lengths regionally, explaining their intermediate-to-high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(32.56) is lower than the astrocyte mean (76.83) because it is dominated by cell types with many pairs and lower ω (e.g., vascular cells n = 3,321 at 12.60, microglia n = 5,671 at 13.50);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generating hypotheses about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As shown below, however, no individual candidate signal from the migration screen survives multiple-testing correction, so this framework is presented as hypothesis generation complementing lineage tracing and developmental studies rather than as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Such similarity can arise from at least four non-exclusive mechanisms: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(31–33)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below is therefore a literature-guided interpretation of candidates, not a validated discovery.</w:t>
      </w:r>
    </w:p>
    <w:p>
      <w:pPr>
        <w:spacing w:line="276" w:lineRule="auto" w:after="80"/>
        <w:ind w:firstLine="0"/>
      </w:pPr>
      <w:r>
        <w:rPr>
          <w:rFonts w:ascii="Arial" w:hAnsi="Arial"/>
          <w:b w:val="0"/>
          <w:i w:val="0"/>
          <w:color w:val="000000"/>
          <w:sz w:val="22"/>
        </w:rPr>
        <w:t>To formalize the screen, we used a multiplicative model: for each (cell_type, region_pair) combination, expected_ω = μ_ct × μ_pair / μ_grand, where μ_ct is the cell type's global mean ω, μ_pair is the region pair's mean ω, and μ_grand is the global mean (32.56).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shared developmental history or recent migration. We defined three confidence tiers: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identified 55 (0.17%) Strong candidates, with 2,120 (6.67%) Moderate and 6,149 (19.36%) Weak candidates. Under the block-shuffle null (B = 1,000), 37 of the 55 Strong candidates showed raw one-sided P &lt; 0.05, but after Benjamini-Hochberg correction across all 31,764 pairs, none reached q &lt; 0.05 (minimum q = 0.949). We therefore present the Strong candidates as a prioritized hypothesis list rather than confirmed discoveries. The candidates concentrate in the oligodendrocyte lineage: OPCs contributed 27 Strong candidates (16 with raw P &lt; 0.05), committed OPCs 12 (12), oligodendrocytes 11 (4), astrocytes 2 (2), fibroblasts 2 (2), and ependymal cells 1 (1); microglia, vascular cells, choroid plexus, and Bergmann glia contributed none.</w:t>
      </w:r>
    </w:p>
    <w:p>
      <w:pPr>
        <w:pStyle w:val="Heading3"/>
        <w:spacing w:before="420" w:after="160"/>
      </w:pPr>
      <w:r>
        <w:rPr>
          <w:rFonts w:ascii="Arial" w:hAnsi="Arial"/>
          <w:color w:val="000000"/>
          <w:sz w:val="22"/>
          <w:b/>
        </w:rPr>
        <w:t>OPCs dominate the candidate list</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Consistent with this motility, OPCs contributed the largest share of Strong candidates (27 of 55, of which 16 had raw block-shuffle P &lt; 0.05)—roughly 2.7-fold more than expected from their share of comparisons (17.9% of pairs). The OPC candidates show two convergences: nine pairs involve the temporal frontal cortex (TF) as one endpoint (with CA2U-CA3U, MTG, MN, MoAN, PB, RN, SEP, SI), and several involve basal forebrain or diencephalic targets (A13-LEC, A19-LEC, A19-PAG, A1C-Idg, A24-GPe, A5-A7-GPi, A5-A7-IO). Because no candidate survives FDR correction, we read this concentration as consistent with—but by no means proof of—the known developmental dispersal and adult surveillance of the OPC lineage, warranting lineage-tracing follow-up.</w:t>
      </w:r>
    </w:p>
    <w:p>
      <w:pPr>
        <w:pStyle w:val="Heading3"/>
        <w:spacing w:before="420" w:after="160"/>
      </w:pPr>
      <w:r>
        <w:rPr>
          <w:rFonts w:ascii="Arial" w:hAnsi="Arial"/>
          <w:color w:val="000000"/>
          <w:sz w:val="22"/>
          <w:b/>
        </w:rPr>
        <w:t>Committed OPCs and oligodendrocytes: subcortical convergence</w:t>
      </w:r>
    </w:p>
    <w:p>
      <w:pPr>
        <w:spacing w:line="276" w:lineRule="auto" w:after="80"/>
        <w:ind w:firstLine="0"/>
      </w:pPr>
      <w:r>
        <w:rPr>
          <w:rFonts w:ascii="Arial" w:hAnsi="Arial"/>
          <w:b w:val="0"/>
          <w:i w:val="0"/>
          <w:color w:val="000000"/>
          <w:sz w:val="22"/>
        </w:rPr>
        <w:t>Committed oligodendrocyte precursors contributed 12 Strong candidates, all with raw P &lt; 0.05. Eleven of the twelve involve the substantia nigra pars reticulata (SN-RN) as one endpoint (e.g., SI-SN-RN, SEP-SN-RN, Pul-SN-RN, MN-SN-RN, M1C-SN-RN), a striking convergence given the 51 regions available to this class. Mature oligodendrocytes contributed 11 Strong candidates, 4 with raw P &lt; 0.05 (A24-A5/A7, A35/36-SI, A43-HTHpo, FI-SN), all cortex-or-insula versus subcortical pairings. The prevailing view is that adult oligodendrocytes do not migrate between regions; Foerster et al. (27) demonstrated that cortical oligodendrocytes are predominantly dorsally derived, whereas thalamic and brainstem oligodendrocytes are ventrally derived, with persistent cell-autonomous transcriptional identity. The cortex-versus-subcortex orientation of these candidates is compatible with such developmental origin boundaries rather than migration, but given the null FDR result we present this as one candidate interpretation among several.</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76.83), contributed only 2 Strong candidates (A19-AON and MoRF-MoEN/MoSR, both raw P &lt; 0.05); fibroblasts contributed 2 (CA1U-SN, GPi-Sub) and ependymal cells 1 (CA1U-SEP), all with raw P &lt; 0.05. Bergmann glia contributed none, consistent with their developmentally fixed, transcriptionally constrained state in the adult cerebellum (28,30) and their low global ω (11.17). None of these sparse signals survive multiple-testing correction; they are catalogued because their region identities are compatible with published developmental mechanisms (compartmentalized astrogenesis (29);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differentiation gradient is robust (9 of 10 classes, P = 9.99 × 10⁻⁴), whereas no individual cell-type/region-pair candidate survives FDR correction. An earlier implementation of this test, which shuffled cell-type labels within each region pair (B = 10,000), produced anti-conservative P-values (36.3% of pairs at the P-value floor) because per-pair shuffling ignores the block structure of 10x libraries; the block-shuffle null used here preserves that structure.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raw ω scale varies substantially across datasets and computation schemes (e.g., BRCA Luminal A ω ≈ 123.4 vs. brain global ω = 32.6); in TCGA, bulk RNA-seq averaging effects are the likely driver: pseudobulk averaging across millions of cells compresses HK gene variance, driving k_n toward its floor: across the 5 cancer types, the aggregate tumor-versus-normal k_n fell to 3.0 × 10⁻⁵–1.9 × 10⁻⁴ (below the k_n floor of 10⁻⁴ in 3 of 5 cancer types, where ω saturates at k_f/10⁻⁴), compared to a mean per-pair k_n of 0.003 in the brain single-nucleus dataset,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robust 6.88-fold ω gradient across 10 cell classes (from 11.17 in Bergmann glia to 76.83 in astrocytes), significant at the cell-class level under a block-shuffle null for 9 of 10 classes, demonstrating that CKI can detect regional functional specialization even among cells of the same type. The multiplicative residual model identified 55 threshold-passing Strong candidates; under the block-shuffle null (B = 1,000) that permutes 10x-library-to-region assignments while preserving the cell-type-by-region design, 37 of these showed raw P &lt; 0.05, but none survived Benjamini-Hochberg correction across all 31,764 pairs (minimum q = 0.949). We therefore interpret the candidate list as hypothesis-generating rather than as confirmed discoveries. The candidates concentrate in the oligodendrocyte lineage (27 of 55 from OPCs, 12 from committed OPCs, 11 from oligodendrocytes), a pattern consistent with the known motility of OPCs (25,26) and the developmental origin boundaries of mature oligodendrocytes (27), but these interpretations require lineage-tracing validation. Notably, an earlier per-pair shuffle implementation of this test was anti-conservative (36.3% of pairs at the P-value floor) because it ignored the block structure of the experiment; the block-shuffle null rectifies this. These results illustrate a general principle for high-throughput screens in single-cell atlases: statistical claims require nulls that respect the experimental design (library and region blocks), and the absence of FDR-significant signals is itself informative, delimiting what can be concluded from adult transcriptomes alone.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(47),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oligodendrocyte-lineage signals dominate the residual model candidates, and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55 Strong candidates from the multiplicative residual model represent the most extreme deviations from the multiplicative expectation; none survived Benjamini-Hochberg correction under the block-shuffle null (minimum q = 0.949), and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2.10, excess kurtosis = 4.96; Shapiro-Wilk and D’Agostino-Pearson tests reject normality at P &lt; 0.001). Consequently, SES is reported as a descriptive measure of effect size rather than a parametric test statistic. Eighth, permutation testing of the residual model with the block-shuffle null (B = 1,000, Benjamini-Hochberg FDR across all 31,764 pairs) showed that 37 of 55 Strong threshold-passing signals had raw P &lt; 0.05, but none survived FDR correction (minimum q = 0.949). These signals should be interpreted with caution as candidates for validation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92.89%) showed that pair-specific k_n varies substantially and yields substantially different ω rankings (Spearman ρ = 0.181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brain multiplicative-residual screen used a block-shuffle permutation null (B = 1,000) with 10x libraries as blocks. No cell-type/region-pair candidate survived Benjamini-Hochberg FDR correction (minimum q = 0.949 across m = 31,764 pairs); the 37 Strong-tier pairs with raw P &lt; 0.05 are reported as hypothesis-generating signals, not FDR-controlled discoveries. Because per-signal tests share cell types and regions, BH correction over all pairs is itself approximate; a hierarchical or permutation-based FDR estimate could further refine the multiplicity model.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Eighteenth, the one-sided permutation test (H1: ω_obs &gt; ω_null) does not detect functional constraint (ω_obs &lt; ω_null); users investigating bidirectional hypotheses should employ two-sided permutation tests, available via the direction parameter in the CKI package. Nineteenth, the block-shuffle null treats each 10x library as an atomic block and permutes library-to-region assignments; it preserves per-region library counts but assumes libraries are otherwise exchangeable. Any systematic library-level confounding not removed by the design (e.g., batch correlated with dissection order) would distort the null in ways the permutation cannot capture. In addition, B = 1,000 permutations bounds the resolvable P-value at 9.99 × 10⁻⁴; detecting FDR-significant signals among 31,764 pairs would require either far stronger effects, larger B, or a hierarchically structured multiplicity model. Twentieth, the k_n floor value (1 × 10⁻⁴) was reached in 3 of 5 TCGA cancer types for the aggregate tumor-versus-normal k_n (which ranged from 3.0 × 10⁻⁵ to 1.9 × 10⁻⁴ across the five cancer types), compared to mean per-pair k_n of 0.003–0.009 in single-cell datasets (mouse pilot and brain). Because the k_n floor caps the denominator in ω = k_f/k_n, ω values from datasets where k_n saturates at the floor are systematically inflated relative to datasets with higher k_n. While this inflation does not affect rank-based interpretation within a dataset, it limits the comparability of absolute ω magnitudes between the TCGA (bulk RNA-seq) and single-cell dataset analyses.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(38). TCGA data: NCI Genomic Data Commons (https://portal.gdc.cancer.gov/). HRT Atlas (optional human/mouse HK reference): https://www.housekeeping.unicamp.br. Human brain atlas: CZ CELLxGENE Discover (collection ID as referenced in (11), accessed July 2025).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included in the Supplementary Data.</w:t>
      </w:r>
    </w:p>
    <w:p>
      <w:pPr>
        <w:pStyle w:val="Heading1"/>
        <w:spacing w:before="420" w:after="160"/>
      </w:pPr>
      <w:r>
        <w:rPr>
          <w:rFonts w:ascii="Arial" w:hAnsi="Arial"/>
          <w:color w:val="000000"/>
          <w:sz w:val="28"/>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L.Z. conceived the study, developed the CKI algorithm, performed all analyses, and wrote the manuscript. X.W. contributed to data analysis and manuscript revision. Both authors read and approved the final manuscript.</w:t>
      </w:r>
    </w:p>
    <w:p>
      <w:pPr>
        <w:pStyle w:val="Heading1"/>
        <w:spacing w:before="420" w:after="160"/>
      </w:pPr>
      <w:r>
        <w:rPr>
          <w:rFonts w:ascii="Arial" w:hAnsi="Arial"/>
          <w:color w:val="000000"/>
          <w:sz w:val="28"/>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28"/>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complementary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4,851 Tabula Sapiens pairs. CKI ω is negatively correlated with all four standard metrics. Standard metrics form a positive cluster. (B) Scatter plot of CKI ω vs. k_n (baseline rate) on Tabula Sapiens data (n = 4,851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(B cells, plasma cells,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11.17) shows the lowest regional divergence; astrocytes (mean ω = 76.83) show the highest (6.88-fold gradient). Box plots: center line, median; box, IQR; whiskers, 1.5× IQR. (C) Astrocyte ω across brain regions, with hierarchical clustering. Cortex regions cluster together, as do thalamic and brainstem regions. (D) Migration candidate detection: multiplicative residual model identifies 55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28"/>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92.89%). (B) Scatter plot of ω computed with per-pair k_n vs. global k_n (Spearman ρ = 0.181),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6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20"/>
        </w:rPr>
        <w:t>Lopez,R., Regier,J., Cole,M.B., Jordan,M.I. and Yosef,N. (2018) Deep generative modeling for single-cell transcriptomics. *Nat. Methods*, **15**, 1053–1058.</w:t>
      </w:r>
    </w:p>
    <w:p>
      <w:pPr>
        <w:spacing w:line="276" w:lineRule="auto" w:after="6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20"/>
        </w:rPr>
        <w:t>Tabula Muris Consortium (2018) Single-cell transcriptomics of 20 mouse organs creates a Tabula Muris. *Nature*, **562**, 367–372.</w:t>
      </w:r>
    </w:p>
    <w:p>
      <w:pPr>
        <w:spacing w:line="276" w:lineRule="auto" w:after="60"/>
      </w:pPr>
      <w:r>
        <w:rPr>
          <w:rFonts w:ascii="Arial" w:hAnsi="Arial"/>
          <w:color w:val="000000"/>
          <w:sz w:val="20"/>
        </w:rPr>
        <w:t>Tabula Sapiens Consortium (2022) The Tabula Sapiens: a multiple-organ, single-cell transcriptomic atlas of humans. *Science*, **376**, eabl4896.</w:t>
      </w:r>
    </w:p>
    <w:p>
      <w:pPr>
        <w:spacing w:line="276" w:lineRule="auto" w:after="60"/>
      </w:pPr>
      <w:r>
        <w:rPr>
          <w:rFonts w:ascii="Arial" w:hAnsi="Arial"/>
          <w:color w:val="000000"/>
          <w:sz w:val="20"/>
        </w:rPr>
        <w:t>Cancer Genome Atlas Research Network (2014) Comprehensive molecular profiling of lung adenocarcinoma. *Nature*, **511**, 543–550.</w:t>
      </w:r>
    </w:p>
    <w:p>
      <w:pPr>
        <w:spacing w:line="276" w:lineRule="auto" w:after="60"/>
      </w:pPr>
      <w:r>
        <w:rPr>
          <w:rFonts w:ascii="Arial" w:hAnsi="Arial"/>
          <w:color w:val="000000"/>
          <w:sz w:val="20"/>
        </w:rPr>
        <w:t>Cancer Genome Atlas Network (2012) Comprehensive molecular portraits of human breast tumours. *Nature*, **490**, 61–70.</w:t>
      </w:r>
    </w:p>
    <w:p>
      <w:pPr>
        <w:spacing w:line="276" w:lineRule="auto" w:after="6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20"/>
        </w:rPr>
        <w:t>Luecken,M.D. and Theis,F.J. (2019) Current best practices in single-cell RNA-seq analysis: a tutorial. *Mol. Syst. Biol.*, **15**, e8746.</w:t>
      </w:r>
    </w:p>
    <w:p>
      <w:pPr>
        <w:spacing w:line="276" w:lineRule="auto" w:after="6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20"/>
        </w:rPr>
        <w:t>Wolf,F.A., Angerer,P. and Theis,F.J. (2018) SCANPY: large-scale single-cell gene expression data analysis. *Genome Biol.*, **19**, 15.</w:t>
      </w:r>
    </w:p>
    <w:p>
      <w:pPr>
        <w:spacing w:line="276" w:lineRule="auto" w:after="6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20"/>
        </w:rPr>
        <w:t>Edmondson,H.A. and Steiner,P.E. (1954) Primary carcinoma of the liver: a study of 100 cases among 48,900 necropsies. *Cancer*, **7**, 462–503.</w:t>
      </w:r>
    </w:p>
    <w:p>
      <w:pPr>
        <w:spacing w:line="276" w:lineRule="auto" w:after="60"/>
      </w:pPr>
      <w:r>
        <w:rPr>
          <w:rFonts w:ascii="Arial" w:hAnsi="Arial"/>
          <w:color w:val="000000"/>
          <w:sz w:val="20"/>
        </w:rPr>
        <w:t>Storey,J.D. and Tibshirani,R. (2003) Statistical significance for genomewide studies. *Proc. Natl. Acad. Sci. USA*, **100**, 9440–9445.</w:t>
      </w:r>
    </w:p>
    <w:p>
      <w:pPr>
        <w:spacing w:line="276" w:lineRule="auto" w:after="6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20"/>
        </w:rPr>
        <w:t>Reeber,S.L., Arancillo,M. and Sillitoe,R.V. (2015) Bergmann glia are patterned into topographic molecular zones in the cerebellum. *Cerebellum*, **14**, 392–403.</w:t>
      </w:r>
    </w:p>
    <w:p>
      <w:pPr>
        <w:spacing w:line="276" w:lineRule="auto" w:after="6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20"/>
        </w:rPr>
        <w:t>Shemer,A. and Jung,S. (2024) The molecular determinants of microglial developmental colonization. *Nat. Rev. Neurosci.*, **25**, 414–427.</w:t>
      </w:r>
    </w:p>
    <w:p>
      <w:pPr>
        <w:spacing w:line="276" w:lineRule="auto" w:after="6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20"/>
        </w:rPr>
        <w:t>Yang,Z. (2007) PAML 4: phylogenetic analysis by maximum likelihood. *Mol. Biol. Evol.*, **24**, 1586–1591.</w:t>
      </w:r>
    </w:p>
    <w:p>
      <w:pPr>
        <w:spacing w:line="276" w:lineRule="auto" w:after="60"/>
      </w:pPr>
      <w:r>
        <w:rPr>
          <w:rFonts w:ascii="Arial" w:hAnsi="Arial"/>
          <w:color w:val="000000"/>
          <w:sz w:val="20"/>
        </w:rPr>
        <w:t>Tan,Y.L., Yuan,Y. and Tian,L. (2020) Microglial regional heterogeneity and its role in the brain. *Mol. Psychiatry*, **25**, 351–367.</w:t>
      </w:r>
    </w:p>
    <w:p>
      <w:pPr>
        <w:spacing w:line="276" w:lineRule="auto" w:after="60"/>
      </w:pPr>
      <w:r>
        <w:rPr>
          <w:rFonts w:ascii="Arial" w:hAnsi="Arial"/>
          <w:color w:val="000000"/>
          <w:sz w:val="20"/>
        </w:rPr>
        <w:t>Lin,J. (1991) Divergence measures based on the Shannon entropy. *IEEE Trans. Inf. Theory*, **37**, 145–151.</w:t>
      </w:r>
    </w:p>
    <w:p>
      <w:pPr>
        <w:spacing w:line="276" w:lineRule="auto" w:after="60"/>
      </w:pPr>
      <w:r>
        <w:rPr>
          <w:rFonts w:ascii="Arial" w:hAnsi="Arial"/>
          <w:color w:val="000000"/>
          <w:sz w:val="20"/>
        </w:rPr>
        <w:t>Efron,B. and Tibshirani,R.J. (1994) An Introduction to the Bootstrap. Chapman and Hall/CRC, New York.</w:t>
      </w:r>
    </w:p>
    <w:p>
      <w:pPr>
        <w:spacing w:line="276" w:lineRule="auto" w:after="60"/>
      </w:pPr>
      <w:r>
        <w:rPr>
          <w:rFonts w:ascii="Arial" w:hAnsi="Arial"/>
          <w:color w:val="000000"/>
          <w:sz w:val="20"/>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20"/>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20"/>
        </w:rPr>
        <w:t>Waskom,M.L. (2021) seaborn: statistical data visualization. *J. Open Source Softw.*, **6**, 3021.</w:t>
      </w:r>
    </w:p>
    <w:p>
      <w:pPr>
        <w:spacing w:line="276" w:lineRule="auto" w:after="60"/>
      </w:pPr>
      <w:r>
        <w:rPr>
          <w:rFonts w:ascii="Arial" w:hAnsi="Arial"/>
          <w:color w:val="000000"/>
          <w:sz w:val="20"/>
        </w:rPr>
        <w:t>Butte,A.J., Dzau,V.J. and Glueck,S.B. (2001) Further defining housekeeping, or maintenance, genes: focus on A compendium of gene expression in normal human tissues. *Physiol. Genomics*, **7**, 95-96.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