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32"/>
        </w:rPr>
        <w:t>CKI: A Cell-state Kinetic Index for Quantifying Baseline-Normalized Transcriptomic Remodeling</w:t>
      </w:r>
    </w:p>
    <w:p>
      <w:pPr>
        <w:jc w:val="center"/>
      </w:pPr>
      <w:r>
        <w:rPr>
          <w:rFonts w:ascii="Arial" w:hAnsi="Arial"/>
          <w:color w:val="000000"/>
          <w:sz w:val="20"/>
        </w:rPr>
        <w:t>Running title: CKI: Baseline-Normalized Divergence Index</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2</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0000-0002-0698-0754</w:t>
      </w:r>
    </w:p>
    <w:p>
      <w:pPr>
        <w:pStyle w:val="Heading1"/>
        <w:spacing w:before="420" w:after="160"/>
      </w:pPr>
      <w:r>
        <w:rPr>
          <w:rFonts w:ascii="Arial" w:hAnsi="Arial"/>
          <w:color w:val="000000"/>
          <w:sz w:val="28"/>
          <w:b/>
        </w:rPr>
        <w:t>Abstract</w:t>
      </w:r>
    </w:p>
    <w:p>
      <w:pPr>
        <w:spacing w:line="276" w:lineRule="auto" w:after="80"/>
        <w:ind w:firstLine="0"/>
      </w:pPr>
      <w:r>
        <w:rPr>
          <w:rFonts w:ascii="Arial" w:hAnsi="Arial"/>
          <w:b w:val="0"/>
          <w:i w:val="0"/>
          <w:color w:val="000000"/>
          <w:sz w:val="22"/>
        </w:rPr>
        <w:t>Comparing cell populations is fundamental in single-cell genomics, yet standard distance metrics conflate baseline variation with functional adaptation. Inspired by the Ka/Ks ratio, we present CKI (Cell-state Kinetic Index), which decomposes transcriptomic divergence into a baseline rate k_n (housekeeping genes) and a functional rate k_f (identity genes), with ω = k_f/k_n quantifying baseline-normalized functional divergence. We validated CKI across four datasets: the Tabula Muris mouse atlas, Tabula Sapiens human atlas, TCGA pan-cancer data, and a human brain single-nucleus atlas (888,263 non-neuronal nuclei analyzed). Calibration established an empirical baseline for equivalent populations (mean ω = 6.67, 95% bootstrap CI [4.24, 9.24], all P &gt; 0.05), inflated above unity by identity-gene selection. CKI ω was negatively correlated with all standard distance metrics (Spearman r = −0.36 to −0.46, all P &lt; 0.001), indicating it captures an independent information dimension. Cancer analysis suggested potential transcriptional convergence across genetically diverse tumors (exploratory). Brain analysis revealed a 6.88-fold regional differentiation gradient across 10 non-neuronal cell classes; under a strict block-shuffle null, no candidate survived false-discovery-rate correction, positioning brain candidates as hypothesis-generating. CKI provides a framework for quantifying functional divergence against an internal baseline, available as an open-source Python package.</w:t>
      </w:r>
    </w:p>
    <w:p>
      <w:pPr>
        <w:jc w:val="center"/>
      </w:pPr>
      <w:r>
        <w:rPr>
          <w:rFonts w:ascii="Arial" w:hAnsi="Arial"/>
          <w:color w:val="000000"/>
          <w:sz w:val="20"/>
        </w:rPr>
        <w:t>Keywords: cell-state divergence, housekeeping genes, Jensen-Shannon decomposition, transcriptomic remodeling, single-cell genomics</w:t>
      </w:r>
    </w:p>
    <w:p>
      <w:pPr>
        <w:pStyle w:val="Heading1"/>
        <w:spacing w:before="420" w:after="160"/>
      </w:pPr>
      <w:r>
        <w:rPr>
          <w:rFonts w:ascii="Arial" w:hAnsi="Arial"/>
          <w:color w:val="000000"/>
          <w:sz w:val="28"/>
          <w:b/>
        </w:rPr>
        <w:t>Introduction</w:t>
      </w:r>
    </w:p>
    <w:p>
      <w:pPr>
        <w:spacing w:line="276" w:lineRule="auto" w:after="8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8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(1), where donor-level and batch-level variation often dominates over cell-type identity. Methods such as Harmony (2), scVI (3), and SATURN (4) have been developed specifically to remove such nuisance variation (5). However, after correction, a key question remains: how much of the remaining difference between two populations represents functional adaptation, and how much is simply neutral drift?</w:t>
      </w:r>
    </w:p>
    <w:p>
      <w:pPr>
        <w:spacing w:line="276" w:lineRule="auto" w:after="80"/>
        <w:ind w:firstLine="0"/>
      </w:pPr>
      <w:r>
        <w:rPr>
          <w:rFonts w:ascii="Arial" w:hAnsi="Arial"/>
          <w:b w:val="0"/>
          <w:i w:val="0"/>
          <w:color w:val="000000"/>
          <w:sz w:val="22"/>
        </w:rPr>
        <w:t>This question mirrors a problem addressed in molecular evolution. When comparing two DNA sequences, the Ka/Ks ratio (also called dN/dS) distinguishes nonsynonymous changes (Ka, which alter the protein) from synonymous changes (Ks, which are largely silent) (6, 7).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80"/>
        <w:ind w:firstLine="0"/>
      </w:pPr>
      <w:r>
        <w:rPr>
          <w:rFonts w:ascii="Arial" w:hAnsi="Arial"/>
          <w:b w:val="0"/>
          <w:i w:val="0"/>
          <w:color w:val="000000"/>
          <w:sz w:val="22"/>
        </w:rPr>
        <w:t>We validated CKI across four scales, each testing a different aspect of the method. First, we calibrated CKI on Tabula Muris mouse data (8), confirming that random splits of the same cell population yield ω above 1 (empirical calibration baseline 6.67, 95% bootstrap CI [4.24, 9.24]). Second, we extended CKI to Tabula Sapiens human data (9) and found that CKI ω is negatively correlated with all four standard distance metrics, demonstrating that it captures an independent information dimension. Third, we applied CKI to TCGA cancer data (10,11), revealing that tumors appear more transcriptionally homogeneous than normal tissues at bulk resolution (an exploratory observation; see Results for caveats). Fourth, we used CKI to analyze a human brain single-nucleus atlas (12), measuring how the same non-neuronal cell classes differ across brain regions. The analysis revealed a significant 6.88-fold regional differentiation gradient and a screen of anomalously similar cell-type/region-pair candidates; because no candidate survived false-discovery-rate correction under a strict block-shuffle null that preserves the cell-type-by-region design, we present the brain candidates as hypothesis-generating signals for future lineage-tracing validation rather than confirmed discoveries.</w:t>
      </w:r>
    </w:p>
    <w:p>
      <w:pPr>
        <w:pStyle w:val="Heading1"/>
        <w:spacing w:before="420" w:after="160"/>
      </w:pPr>
      <w:r>
        <w:rPr>
          <w:rFonts w:ascii="Arial" w:hAnsi="Arial"/>
          <w:color w:val="000000"/>
          <w:sz w:val="28"/>
          <w:b/>
        </w:rPr>
        <w:t>Materials and 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We normalize raw count matrices to 10,000 counts per cell and apply log1p transformation (13). Pseudobulk vectors are computed by averaging expression across cells sharing the same cell-type annotation, requiring at least 10 cells per group. Housekeeping (HK) genes are loaded from the HRT Atlas v1.0 reference (14) (1,130 human-mouse conserved HK genes).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w:t>
      </w:r>
    </w:p>
    <w:p>
      <w:pPr>
        <w:spacing w:line="276" w:lineRule="auto" w:after="8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Note that when applied to log1p-transformed counts, softmax(log1p(x)) is mathematically equivalent to L1 normalization with a pseudocount of 1 (p_i = (x_i + 1)/Σ(x_j + 1)); we retain the softmax formulation as implemented in the released package. Then k_n = JS(norm(ε_A[H]), norm(ε_B[H])), where H is the set of HK gene indices. k_f = JS(norm(ε_A[I]), norm(ε_B[I])), where I is the set of top-2,000 highly variable genes (HVGs; Seurat flavor) excluding HK genes. ω = k_f/k_n. JS divergence (15) uses the base-2 logarithm (range [0, 1]). To guard against division by near-zero k_n, the CKI package API applies a lower bound of 1 × 10⁻⁴ on k_n; the analysis scripts reported in this paper used only a k_n &gt; 0 guard (no floor). This difference is immaterial for the reported results: the smallest observed k_n value across all reported pairs is 1.1 × 10⁻⁴ (mouse pilot), above the package floor.</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ranging from 50 to 5,000 showed that mean JS divergence is effectively constant (0.155–0.159, ratio = 1.001 between d = 1,130 and d = 2,000; Supplementary Fig. S10). This confirms that the systematic inflation of k_f relative to k_n (ω = 6.67 for equivalent populations) arises from HVG selection bias (selecting genes with high cross-cell variance) rather than from dimensional mismatch. The calibrated omega (ω_cal = ω / 6.67) absorbs this bias into the empirical baseline, and the permutation null—constructed using the same gene sets—ensures internal consistency.</w:t>
      </w:r>
    </w:p>
    <w:p>
      <w:pPr>
        <w:pStyle w:val="Heading2"/>
        <w:spacing w:before="420" w:after="160"/>
      </w:pPr>
      <w:r>
        <w:rPr>
          <w:rFonts w:ascii="Arial" w:hAnsi="Arial"/>
          <w:color w:val="000000"/>
          <w:sz w:val="24"/>
          <w:b/>
        </w:rPr>
        <w:t>Bootstrap permutation test</w:t>
      </w:r>
    </w:p>
    <w:p>
      <w:pPr>
        <w:spacing w:line="276" w:lineRule="auto" w:after="80"/>
        <w:ind w:firstLine="0"/>
      </w:pPr>
      <w:r>
        <w:rPr>
          <w:rFonts w:ascii="Arial" w:hAnsi="Arial"/>
          <w:b w:val="0"/>
          <w:i w:val="0"/>
          <w:color w:val="000000"/>
          <w:sz w:val="22"/>
        </w:rPr>
        <w:t>We randomly permute cell labels between the two populations (B = 1,000 for all datasets: mouse pilot of 15 cell-type pairs and 6 calibration controls, human Tabula Sapiens, TCGA, and brain atlas), recompute pseudobulk vectors, and calculate ω_null for each permutation. Empirical P-values are computed as one-sided permutation tests: P = (count(ω_null ≥ ω_obs) + 1)/(B + 1), where the +1 pseudocount avoids P = 0. The one-sided test is appropriate because our hypothesis is directional: we test whether observed ω exceeds the null expectation (equivalent populations), not whether it differs in either direction. Standardized effect size = (ω_obs − mean(ω_null)) / sd(ω_null), reported as a descriptive measure of separation magnitude. Given the non-normal ω distribution, SES is interpreted as a non-parametric descriptive statistic complementing the permutation P-value, not as a parametric test statistic such as Cohen’s d. Benjamini-Hochberg false discovery rate (FDR) correction (16) is applied within each dataset to account for multiple comparisons. For the larger-scale analyses (human, TCGA, brain), results are also supplemented with non-parametric statistical tests (Spearman correlation, Mann-Whitney U, Kruskal-Wallis, Jonckheere-Terpstra) and descriptive statistics (median, IQR, effect sizes).</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Tabula Muris FACS SmartSeq2 (8): 15,057 cells, 22,308 genes, 6 organs (liver, kidney, spleen, lung, heart, bone marrow). Post-QC: 32 cell-type entries (each with at least 10 cells). Highly variable genes selected using scanpy (17) with flavor="seurat" (18,19) and n_top_genes=2,000.</w:t>
      </w:r>
    </w:p>
    <w:p>
      <w:pPr>
        <w:spacing w:line="276" w:lineRule="auto" w:after="80"/>
        <w:ind w:firstLine="0"/>
      </w:pPr>
      <w:r>
        <w:rPr>
          <w:rFonts w:ascii="Arial" w:hAnsi="Arial"/>
          <w:b w:val="0"/>
          <w:i w:val="0"/>
          <w:color w:val="000000"/>
          <w:sz w:val="22"/>
        </w:rPr>
        <w:t>Tabula Sapiens v1.0 (9): accessed via CZ CELLxGENE Discover.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pPr>
        <w:spacing w:line="276" w:lineRule="auto" w:after="80"/>
        <w:ind w:firstLine="0"/>
      </w:pPr>
      <w:r>
        <w:rPr>
          <w:rFonts w:ascii="Arial" w:hAnsi="Arial"/>
          <w:b w:val="0"/>
          <w:i w:val="0"/>
          <w:color w:val="000000"/>
          <w:sz w:val="22"/>
        </w:rPr>
        <w:t>TCGA bulk RNA-seq (20): five cancer types from NCI Genomic Data Commons, accessed via TCGAbiolinks (21) and cBioPortal (22) APIs. LUAD: 495 tumor + 76 normal; LUSC: 567 tumor + 58 normal; LIHC: 365 tumor + 57 normal; KIRC: 755 tumor + 82 normal; BRCA: 1032 tumor + 109 normal. TPM values from UCSC Xena, log2(TPM + 1) transformed. PAM50 classification (23,24): nearest centroid (Pearson correlation), 44 of 47 PAM50 genes matched. LIHC Edmondson grade (25): from cBioPortal, 288 tumors. LUAD mutations: from cBioPortal, 492 samples (61 EGFR, 120 KRAS, 311 WT).</w:t>
      </w:r>
    </w:p>
    <w:p>
      <w:pPr>
        <w:spacing w:line="276" w:lineRule="auto" w:after="80"/>
        <w:ind w:firstLine="0"/>
      </w:pPr>
      <w:r>
        <w:rPr>
          <w:rFonts w:ascii="Arial" w:hAnsi="Arial"/>
          <w:b w:val="0"/>
          <w:i w:val="0"/>
          <w:color w:val="000000"/>
          <w:sz w:val="22"/>
        </w:rPr>
        <w:t>Human brain atlas (12): Siletti et al. (2023) single-nucleus RNA-seq (v3.11) from CZ CELLxGENE Discover (collection ID: 283d65eb-2f53-46e9-a951-0da342e3d1f2). We used the Nonneurons.h5ad dataset (888,263 nuclei, 59,480 genes, 108 brain regions). Cell types were classified by supercluster_term annotation, generating 10 major non-neuronal classes: astrocytes (155,025 nuclei), oligodendrocytes (490,246), oligodendrocyte precursors (105,723), committed oligodendrocyte precursors (4,118), microglia (91,826), vascular cells (9,586), fibroblasts (8,897), ependymal cells (5,779), choroid plexus (7,643), and Bergmann glia (7,965); after filtering, 886,808 nuclei contributed to the analysis. We required &gt;= 20 nuclei per (region, cell_type) group and &gt;= 50 nuclei per region. Pseudobulk vectors were computed as cell-count-weighted means of per-library (10x sample) mean expression vectors per (region, cell_type) group, then normalized using Scanpy normalize_total (target_sum = 10,000) followed by log1p transformation at the pseudobulk level. CKI ω was computed for all same-cell-type cross-region comparisons (31,764 pairs total), using the hybrid scheme described above. HK genes were loaded from the HRT Atlas v1.0 reference (1,115 genes matched to the Siletti gene annotation). For computational efficiency, the per-pair identity-gene selection was restricted to a pre-filtered pool of the 5,000 non-HK genes with the highest mean expression; within this pool, the top-200 genes with the largest absolute pseudobulk difference were selected per comparison (HK genes excluded).</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cells passing QC); consequently, the method comparison does not capture inter-donor variability, and single-donor pseudobulks limit assessment of between-individual variation. Inter-metric Spearman correlations and cell-type classification ROC-AUC were computed using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over all 31,764 pairs (32.56).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was randomly permuted across libraries (preserving the observed per-region library-count structure), after which region pseudobulks, all 31,764 pair ω values, and multiplicative residuals were recomputed. Because each library's cells and cell-type composition move together, this null retains library-level structure and per-region block sizes while breaking the association between cells and region identity; it is therefore markedly more conservative than per-cell label shuffling, which ignores the block structure of the experiment. B = 1,000 permutations were run (minimum resolvable P = 1/1,001 ≈ 9.99 × 10⁻⁴). Per-pair empirical P-values were computed with the one-sided lower-tail formula P = (count(ω_null ≤ ω_obs) + 1)/(B + 1), the appropriate direction because migration candidates are defined by anomalously low ω. Benjamini-Hochberg FDR correction was applied across all m = 31,764 pairs. No pair reached q &lt; 0.05 (minimum q = 0.949); at this multiplicity q &lt; 0.05 is unattainable at B = 1,000 regardless of the data (see Statistical reporting), so this outcome reflects permutation resolution rather than evidence against the candidates; consequently, no individual candidate is claimed as a statistically confirmed discovery. The 37 Strong-tier pairs with raw P &lt; 0.05 are reported as hypothesis-generating signals, prioritized for future lineage-tracing validation. Per-signal tests are not independent (the same cell type or region pair appears in multiple comparisons); interpretation is therefore restricted to the predefined Strong tier rather than the full 31,764 search space. In addition, a cell-type-level test asked whether regional structure significantly raises a cell type's mean ω relative to the block-shuffle null (one-sided upper-tail P across the same B = 1,000 permutations).</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For TCGA clinical severity analysis, we computed intratumoral ω for samples within each clinical stratum using the hybrid scheme (per-pair k_n on the shared HK gene set, per-pair k_f from top-200 DE genes). BRCA PAM50 subtypes were classified using nearest centroid (Pearson correlation) against the published PAM50 centroids (23,24); 44 of 47 PAM50 genes matched to TCGA gene symbols. LIHC Edmondson histological grades (25)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are reported as descriptive statistics (medians and IQRs) without formal P-values, as the paired design (tumor and matched adjacent normal from the same patient) does not meet the independence assumption of standard between-group tests.</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Typical runtime for a single cell-type pair analysis is under 5 minutes on a standard laptop (Apple M2, 16 GB RAM); the full brain analysis (31,764 pairs) required approximately 72 core-hours on a 32-core workstation. All analyses were performed in Python 3.14.4 with scanpy &gt;= 1.9.0 (17), scipy &gt;= 1.10.0, numpy &gt;= 1.23.0, pandas &gt;= 1.5.0, matplotlib &gt;= 3.6.0, seaborn (26) &gt;= 0.12.0, and scikit-learn (27) &gt;= 1.2.0. All random seeds were fixed at 42 for reproducibility. Bootstrap permutation results are stable with respect to the random seed choice: with B = 1,000 permutations, the Monte Carlo standard error of the empirical P-value is approximately 0.016 at P = 0.5 and 0.001 at P = 0.001, meaning seed variation has negligible impact on statistical conclusions.</w:t>
      </w:r>
    </w:p>
    <w:p>
      <w:pPr>
        <w:pStyle w:val="Heading2"/>
        <w:spacing w:before="420" w:after="160"/>
      </w:pPr>
      <w:r>
        <w:rPr>
          <w:rFonts w:ascii="Arial" w:hAnsi="Arial"/>
          <w:color w:val="000000"/>
          <w:sz w:val="24"/>
          <w:b/>
        </w:rPr>
        <w:t>Statistical reporting</w:t>
      </w:r>
    </w:p>
    <w:p>
      <w:pPr>
        <w:spacing w:line="276" w:lineRule="auto" w:after="80"/>
        <w:ind w:firstLine="0"/>
      </w:pPr>
      <w:r>
        <w:rPr>
          <w:rFonts w:ascii="Arial" w:hAnsi="Arial"/>
          <w:b w:val="0"/>
          <w:i w:val="0"/>
          <w:color w:val="000000"/>
          <w:sz w:val="22"/>
        </w:rPr>
        <w:t>We report summary statistics as mean ± s.d. (range) or median [IQR] as noted. Box plots display median, IQR, and 1.5× IQR whiskers. Bootstrap permutation testing (28) was performed for all four datasets with B = 1,000: mouse pilot (15 cell-type pairs, 6 calibration controls), human Tabula Sapiens, TCGA, and brain atlas. Empirical P-values are computed as one-sided permutation tests: P = (count(ω_null ≥ ω_obs) + 1)/(B + 1), where the null distribution is built from B = 1,000 random permutations of cell labels. In each iteration, cell labels are randomly reassigned to pooled single-cell expression vectors, pseudobulks are recomputed from the permuted groups, and ω is recalculated under the same gene selection procedure. This tests whether the observed ω is larger than expected under random group assignment. Benjamini-Hochberg FDR correction (16) is applied within each dataset, with the number of tests defined at the level at which each analysis is performed; two levels must be distinguished. First, group-level tests, in which each test corresponds to one cell class, cell type, or cancer type: the brain cell-class test (m = 10 non-neuronal classes), the human per-cell-type bootstrap (m = 17), the mouse pilot (m = 15), and the TCGA per-cancer analysis (m = 5). The corresponding BH thresholds for the most significant test (0.05/m) are 5.0 × 10⁻³ (brain), 2.9 × 10⁻³ (human), 3.3 × 10⁻³ (mouse), and 1.0 × 10⁻² (TCGA), all above the minimum resolvable permutation P-value of 9.99 × 10⁻⁴ at B = 1,000, so B = 1,000 provides sufficient resolution for every group-level test. Second, the brain per-pair screen, in which BH correction is applied across all m = 31,764 region pairs. At this multiplicity the BH threshold for the smallest ordered P-value is 0.05/31,764 ≈ 1.6 × 10⁻⁶, roughly 600-fold below the smallest resolvable P at B = 1,000; q &lt; 0.05 is therefore mathematically unattainable at this combination of m and B (resolving it would require B ≈ 6 × 10⁵ permutations). The per-pair FDR outcome (minimum q = 0.949) is consequently a statement about permutation resolution rather than evidence against any candidate, and we therefore report it together with the raw permutation P-value distribution (938 of 31,764 pairs at raw P &lt; 0.05, fewer than the ~1,588 expected under a global null).</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These intervals quantify the precision of the ω point estimate under resampling rather than providing a classical confidence interval for a fixed population parameter. The ω distribution was characterized using skewness, excess kurtosis, and normality tests (Shapiro-Wilk for n ≤ 5,000; D’Agostino-Pearson for n &gt; 5,000). All ω distributions were right-skewed (brain: skewness = 2.10; mouse pilot, n = 15 pairs: 0.99; human: 1.17). Normality was rejected for the large datasets (brain, D’Agostino-Pearson: P &lt; 2.2 × 10⁻¹⁶; human, Shapiro-Wilk: P = 7.6 × 10⁻⁴²); the mouse pilot (n = 15 pairs) did not reject normality (Shapiro-Wilk P = 0.071), although the test has minimal power at this sample size. Effect sizes are reported as standardized effect size (SES = (ω_obs − μ_null) / σ_null), computed from the bootstrap permutation null distribution as a descriptive measure of separation; given the non-normal ω distribution, SES should be interpreted as a non-parametric descriptive statistic complementing the permutation P-value, not as a parametric test statistic such as Cohen’s d. The calibration experiment using split-half equivalent populations (n = 6 random splits of the same tissue) yielded a mean ω = 6.67 (95% bootstrap CI [4.24, 9.24], B = 10,000 resamples of the 6 control ω values), reflecting systematic inflation of k_f relative to k_n from identity-gene selection. This empirical baseline does not represent a shift in the null hypothesis for the permutation test, but indicates that ω = 1 is a theoretical ideal (k_f = k_n) that is never reached in practice due to the way functional genes are identified. The permutation test accounts for this by comparing observed ω against a null distribution constructed from the same gene selection procedure applied to randomly permuted groups. The +1 pseudocount ensures that P &gt; 0 even when no null permutation exceeds the observed deviation. For the larger-scale analyses (human, TCGA, brain), non-parametric statistical tests (Spearman correlation, Mann-Whitney U, Kruskal-Wallis, Jonckheere-Terpstra) and descriptive statistics (median, IQR, effect sizes) are also reported. Correlation coefficients (Spearman ρ) are reported with associated P-values. Omnibus tests (Kruskal-Wallis, Jonckheere-Terpstra) use P &lt; 0.05 without additional correction.</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8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(14), k_n captures baseline noise: technical variation, stochastic transcriptional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(used for the Tabula Muris full pairwise matrix, Supplementary Fig. S1), identity genes are the top-2,000 highly variable genes (HVGs; Seurat flavor), excluding HK genes to maintain k_n/k_f independence. For the mouse pilot calibration and all cross-species analyses (human, TCGA, brain), we used a hybrid scheme: k_n is computed per pair on the shared HK gene set, while k_f uses the top-200 differentially expressed genes (ranked by absolute mean difference) for that specific pair, with HK genes excluded. k_f is the JS divergence between these two identity gene probability distributions.</w:t>
      </w:r>
    </w:p>
    <w:p>
      <w:pPr>
        <w:spacing w:line="276" w:lineRule="auto" w:after="80"/>
        <w:ind w:firstLine="0"/>
      </w:pPr>
      <w:r>
        <w:rPr>
          <w:rFonts w:ascii="Arial" w:hAnsi="Arial"/>
          <w:b w:val="0"/>
          <w:i w:val="0"/>
          <w:color w:val="000000"/>
          <w:sz w:val="22"/>
        </w:rPr>
        <w:t>Step 3: ω = k_f/k_n. For statistical inference, we perform bootstrap permutation testing (B = 1,000 for all datasets: mouse, human, TCGA, and brain). Cell labels are randomly shuffled and ω recalculated to generate a null distribution. The empirical P-value is P = (count(ω_null ≥ ω_obs) + 1)/(B + 1), and effect size is reported as standardized effect size (SES = (ω_obs − μ_null) / σ_null) as a non-parametric descriptive statistic complementary to the permutation P-value. Benjamini-Hochberg FDR correction is applied within each dataset. For the larger-scale analyses (Tabula Sapiens, TCGA, brain atlas), non-parametric statistical tests and descriptive statistics (median, IQR, effect sizes) are also reported.</w:t>
      </w:r>
    </w:p>
    <w:p>
      <w:pPr>
        <w:spacing w:line="276" w:lineRule="auto" w:after="8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0.786, Supplementary Fig. S1). CKI does not require external pathway databases to produce biologically meaningful results—partitioning the expression data into constrained baseline and identity gene sets is sufficient.</w:t>
      </w:r>
    </w:p>
    <w:p>
      <w:pPr>
        <w:pStyle w:val="Heading2"/>
        <w:spacing w:before="420" w:after="160"/>
      </w:pPr>
      <w:r>
        <w:rPr>
          <w:rFonts w:ascii="Arial" w:hAnsi="Arial"/>
          <w:color w:val="000000"/>
          <w:sz w:val="24"/>
          <w:b/>
        </w:rPr>
        <w:t>Calibration confirms baseline behavior at baseline</w:t>
      </w:r>
    </w:p>
    <w:p>
      <w:pPr>
        <w:spacing w:line="276" w:lineRule="auto" w:after="80"/>
        <w:ind w:firstLine="0"/>
      </w:pPr>
      <w:r>
        <w:rPr>
          <w:rFonts w:ascii="Arial" w:hAnsi="Arial"/>
          <w:b w:val="0"/>
          <w:i w:val="0"/>
          <w:color w:val="000000"/>
          <w:sz w:val="22"/>
        </w:rPr>
        <w:t>We calibrated CKI on the Tabula Muris FACS dataset (8) (SmartSeq2, 15,057 cells, 22,308 genes, 6 organs). Housekeeping genes were loaded from the HRT Atlas v1.0 reference (14) (mouse ortholog column). For the full pairwise matrix (703 pairs, Supplementary Fig. S1), identity genes were the top-2,000 highly variable genes (HVGs; Seurat), excluding HK genes. For the pilot calibration (controls, S/D/X categories), we used a hybrid scheme: per-pair k_n on the shared HK gene set with per-pair k_f (top-200 differentially expressed genes, ranked by absolute mean difference, HK excluded).</w:t>
      </w:r>
    </w:p>
    <w:p>
      <w:pPr>
        <w:spacing w:line="276" w:lineRule="auto" w:after="80"/>
        <w:ind w:firstLine="0"/>
      </w:pPr>
      <w:r>
        <w:rPr>
          <w:rFonts w:ascii="Arial" w:hAnsi="Arial"/>
          <w:b w:val="0"/>
          <w:i w:val="0"/>
          <w:color w:val="000000"/>
          <w:sz w:val="22"/>
        </w:rPr>
        <w:t>We performed six control comparisons in which we randomly split the same cell population into two halves. The mean ω was 6.67 (median 6.46, range 1.59–12.16, CV ≈ 52%), indicating substantial variability in the empirical baseline estimate. None of the six comparisons reached statistical significance (all P &gt; 0.05, one-sided bootstrap test). This indicates that CKI recognizes biologically equivalent cell populations as having no significant functional divergence. We note that while these results are consistent with baseline behavior, formal equivalence testing (e.g., two one-sided tests, TOST) with a larger calibration sample would provide stronger statistical evidence for equivalence; the current sample size (n = 6) with a coefficient of variation of ~52% limits the power of such tests and the precision of the calibration factor (ω_cal = ω / 6.67).</w:t>
      </w:r>
    </w:p>
    <w:p>
      <w:pPr>
        <w:spacing w:line="276" w:lineRule="auto" w:after="80"/>
        <w:ind w:firstLine="0"/>
      </w:pPr>
      <w:r>
        <w:rPr>
          <w:rFonts w:ascii="Arial" w:hAnsi="Arial"/>
          <w:b w:val="0"/>
          <w:i w:val="0"/>
          <w:color w:val="000000"/>
          <w:sz w:val="22"/>
        </w:rPr>
        <w:t>Beyond controls, ω values increased monotonically with biological distance. Same cell type across different organs (S category: mean ω = 21.31, n = 4 pairs) had lower ω than different cell types within the same organ (D category: mean ω = 43.19, n = 3 pairs). Because the pilot contains only 2–4 pairs per category, these category means carry wide bootstrap 95% CIs (S: 11.4–35.7; D: 30.1–61.7) and should be read as calibration-scale estimates rather than precise effect sizes. The component-level analysis confirmed that k_f was the driver: from controls to inter-cell-type comparisons, k_f increased roughly 400-fold (mean 0.0015 → 0.63–0.68), while k_n increased only 72–118-fold (0.00022 → 0.016–0.026; control-to-D and control-to-X, respectively). This establishes that CKI measures functional divergence, not just total difference.</w:t>
      </w:r>
    </w:p>
    <w:p>
      <w:pPr>
        <w:spacing w:line="276" w:lineRule="auto" w:after="80"/>
        <w:ind w:firstLine="0"/>
      </w:pPr>
      <w:r>
        <w:rPr>
          <w:rFonts w:ascii="Arial" w:hAnsi="Arial"/>
          <w:b w:val="0"/>
          <w:i w:val="0"/>
          <w:color w:val="000000"/>
          <w:sz w:val="22"/>
        </w:rPr>
        <w:t>Because the empirical baseline (ω = 6.67) deviates substantially from the theoretical ideal (ω = 1), we introduce a calibrated omega: ω_cal = ω_obs / 6.67. This rescales all values so that equivalent populations yield ω_cal ≈ 1.0, restoring the interpretability of the ratio framework. Under this calibration, mouse controls yield ω_cal = 1.00, the brain global mean becomes ω_cal = 4.88 (raw 32.56), and astrocytes—the most regionally divergent brain cell type—yield ω_cal = 11.52 (raw 76.83). Even the most constrained class, Bergmann glia, remains above the empirical baseline (ω_cal = 1.67, raw 11.17), indicating that essentially all non-neuronal classes carry regional differentiation signal beyond the split-half baseline of equivalent populations. The calibrated values are reported alongside raw ω in all key results and Supplementary Figures 8–12. The calibrate_omega() function is available in the CKI package.</w:t>
      </w:r>
    </w:p>
    <w:p>
      <w:pPr>
        <w:pStyle w:val="Heading2"/>
        <w:spacing w:before="420" w:after="160"/>
      </w:pPr>
      <w:r>
        <w:rPr>
          <w:rFonts w:ascii="Arial" w:hAnsi="Arial"/>
          <w:color w:val="000000"/>
          <w:sz w:val="24"/>
          <w:b/>
        </w:rPr>
        <w:t>CKI captures information that standard metrics miss</w:t>
      </w:r>
    </w:p>
    <w:p>
      <w:pPr>
        <w:spacing w:line="276" w:lineRule="auto" w:after="80"/>
        <w:ind w:firstLine="0"/>
      </w:pPr>
      <w:r>
        <w:rPr>
          <w:rFonts w:ascii="Arial" w:hAnsi="Arial"/>
          <w:b w:val="0"/>
          <w:i w:val="0"/>
          <w:color w:val="000000"/>
          <w:sz w:val="22"/>
        </w:rPr>
        <w:t>We extended CKI to the Tabula Sapiens human atlas (9) (108,136 cells; 6 h5ad files total, 102 cell-type entries, 99 of which passed the pairwise-analysis filters and contributed C(99, 2) = 4,851 pairs; 6 organs: liver, kidney, heart, bone marrow, spleen, lung). For human data, we used the same hybrid scheme as the mouse pilot: k_n was computed per pair on the shared HK gene set (a single HK reference applied to all pairs, keeping k_n on a consistent scale across the atlas), while k_f was computed per pair using the top-200 differentially expressed genes for that specific pair. Since ω = k_f/k_n is a ratio of JS divergences computed from the same underlying pseudobulk expression space, the normalization remains internally valid. As a sensitivity analysis, we contrasted this per-pair k_n estimator with a global-k_n variant (k_n computed once from the full gene-by-cell-type pseudobulk matrix): across 31,764 brain comparisons, per-pair k_n showed substantial cross-pair variability (CV = 92.89%), and the Spearman correlation between per-pair ω and global-k_n ω was only 0.181 (P = 9.38e-232), confirming that pair-specific k_n is essential for accurate ω ranking (Supplementary Fig. S11). HK genes were loaded from the HRT Atlas v1.0 reference (14) (human column) (Fig. 3).</w:t>
      </w:r>
    </w:p>
    <w:p>
      <w:pPr>
        <w:spacing w:line="276" w:lineRule="auto" w:after="80"/>
        <w:ind w:firstLine="0"/>
      </w:pPr>
      <w:r>
        <w:rPr>
          <w:rFonts w:ascii="Arial" w:hAnsi="Arial"/>
          <w:b w:val="0"/>
          <w:i w:val="0"/>
          <w:color w:val="000000"/>
          <w:sz w:val="22"/>
        </w:rPr>
        <w:t>Human ω values ranged from 1.35 to 87.69 (mean 21.61, median 19.65, n = 4,851 pairs). We deliberately refrain from comparing these absolute magnitudes with the mouse pilot X-category mean (27.31): that summary rests on only n = 2 pairs of a different pair composition on a different dataset scale, and cross-dataset ω comparisons are interpreted as rank-based only throughout (see Discussion). Within the human atlas,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The critical finding was that CKI captures a largely independent information dimension. We computed five metrics on all 4,851 human cell-type pairs: CKI ω, raw JS divergence (all genes), Spearman distance, cosine distance, and marker Jaccard distance. CKI ω was negatively correlated with all four standard metrics (Spearman r = -0.36 to -0.46, all P &lt; 0.001). In contrast, the four standard metrics formed a tight positive cluster (pairwise r = 0.57–0.93). This negative correlation is the strongest evidence that CKI measures something fundamentally different from all existing distance metrics.</w:t>
      </w:r>
    </w:p>
    <w:p>
      <w:pPr>
        <w:spacing w:before="420" w:after="160"/>
      </w:pPr>
      <w:r>
        <w:rPr>
          <w:rFonts w:ascii="Arial" w:hAnsi="Arial"/>
          <w:b/>
          <w:sz w:val="22"/>
        </w:rPr>
        <w:t>Table 1. Classification AUC of five metrics on Tabula Sapiens (99 of 102 cell-type entries analyzed; 4,851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0.849</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0.680</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0.680, ranked 5th of 5 methods, below Spearman distance at AUC = 0.690 and below cosine distance at AUC = 0.887; Table 1; Supplementary Fig. S4). This lower ranking is expected by design: CKI down-weights shared HK gene patterns to isolate functional divergence, trading some ability to detect global transcriptional identity for enhanced sensitivity to functional specialization. The AUC rank therefore validates that CKI captures a distinct signal rather than being a better general-purpose classifier. Critically, CKI was the only metric where same-organ different-cell-type pairs had higher values than different-organ different-cell-type pairs (mean ω 24.87, n = 1,038 vs. 20.80, n = 3,754; all different-organ pairs combined, including same-cell-type cross-organ pairs: 20.73, n = 3,813;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420" w:after="160"/>
      </w:pPr>
      <w:r>
        <w:rPr>
          <w:rFonts w:ascii="Arial" w:hAnsi="Arial"/>
          <w:color w:val="000000"/>
          <w:sz w:val="24"/>
          <w:b/>
        </w:rPr>
        <w:t>Cancer analysis suggests potential transcriptional convergence (exploratory)</w:t>
      </w:r>
    </w:p>
    <w:p>
      <w:pPr>
        <w:spacing w:line="276" w:lineRule="auto" w:after="80"/>
        <w:ind w:firstLine="0"/>
      </w:pPr>
      <w:r>
        <w:rPr>
          <w:rFonts w:ascii="Arial" w:hAnsi="Arial"/>
          <w:b w:val="0"/>
          <w:i w:val="0"/>
          <w:color w:val="000000"/>
          <w:sz w:val="22"/>
        </w:rPr>
        <w:t>We applied CKI to TCGA bulk RNA-seq data across five cancer types (LUAD, LUSC, LIHC, KIRC, BRCA) (10,11), totalling 3,596 samples. We asked a simple question: when cancer develops, how much functional transcriptional divergence occurs? CKI provides a principled answer by comparing tumor-tumor (TT), normal-normal (NN), and tumor-normal (TN) ω values (Fig. 4; Supplementary Fig. S3).</w:t>
      </w:r>
    </w:p>
    <w:p>
      <w:pPr>
        <w:spacing w:line="276" w:lineRule="auto" w:after="80"/>
        <w:ind w:firstLine="0"/>
      </w:pPr>
      <w:r>
        <w:rPr>
          <w:rFonts w:ascii="Arial" w:hAnsi="Arial"/>
          <w:b w:val="0"/>
          <w:i w:val="0"/>
          <w:color w:val="000000"/>
          <w:sz w:val="22"/>
        </w:rPr>
        <w:t>The TCGA analysis is inherently exploratory because bulk RNA-seq cannot distinguish genuine transcriptional convergence of tumor cells from at least three alternative explanations: (i) shifts in tumor cell composition relative to normal tissue (tumor purity, stromal infiltration, immune cell infiltration); (ii) peritumoral inflammation and desmoplastic reactions that are shared across tumors; (iii) systematic RNA quality differences between tumor and normal specimens. With these caveats, a notable observation, at bulk RNA-seq resolution, was that tumors appeared more transcriptionally homogeneous than normal tissues. In all five cancer types, the median NN/TT ω ratio exceeded 1.0, meaning that normal individuals differ more from each other than tumors differ from each other. Liver cancer (LIHC) showed the smallest contrast (median NN/TT = 1.23), while lung adenocarcinoma (LUAD) showed the largest (median NN/TT = 2.32), with intermediate values for breast cancer (BRCA 1.51), lung squamous (LUSC 1.77), and kidney clear cell (KIRC 2.19). Single-cell or deconvolution-based analyses would be needed to disentangle genuine transcriptional convergence from cell-composition artifacts.</w:t>
      </w:r>
    </w:p>
    <w:p>
      <w:pPr>
        <w:spacing w:line="276" w:lineRule="auto" w:after="80"/>
        <w:ind w:firstLine="0"/>
      </w:pPr>
      <w:r>
        <w:rPr>
          <w:rFonts w:ascii="Arial" w:hAnsi="Arial"/>
          <w:b w:val="0"/>
          <w:i w:val="0"/>
          <w:color w:val="000000"/>
          <w:sz w:val="22"/>
        </w:rPr>
        <w:t>Paired tumor-normal comparisons yielded higher ω than unpaired comparisons in four of five cancer types (paired/unpaired ratio = 0.89–1.54).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80"/>
        <w:ind w:firstLine="0"/>
      </w:pPr>
      <w:r>
        <w:rPr>
          <w:rFonts w:ascii="Arial" w:hAnsi="Arial"/>
          <w:b w:val="0"/>
          <w:i w:val="0"/>
          <w:color w:val="000000"/>
          <w:sz w:val="22"/>
        </w:rPr>
        <w:t>We then asked whether ω tracks with clinical severity within cancer types. In liver cancer, ω decreased with increasing Edmondson grade (25): G1 (73.5 ± 15.6, n = 39) &gt; G2 (67.0 ± 17.7, n = 133) &gt; G3 (66.2 ± 17.1, n = 105) ≈ G4 (66.2 ± 24.5, n = 11; Jonckheere-Terpstra trend test, P &lt; 0.0001). In breast cancer, PAM50 subtype analysis (23,24) revealed a gradient of transcriptional heterogeneity: Luminal A tumors had the highest intratumoral ω (123.4 ± 36.2, n = 224), followed by Luminal B (116.6 ± 26.9, n = 123), HER2-enriched (103.1 ± 29.4, n = 55), and Basal-like tumors (97.8 ± 27.1, n = 97), with Normal-like tumors having the lowest ω (90.5 ± 44.6, n = 7; Kruskal-Wallis, P = 7.9 × 10⁻¹⁰). Lung adenocarcinoma mutation stratification showed significant differences (Kruskal-Wallis, P = 2.1 × 10⁻⁶), with KRAS-mutant (118.1 ± 27.7, n = 120) and EGFR-mutant tumors (107.0 ± 24.8, n = 61) exhibiting higher ω than wild-type tumors (100.5 ± 33.9, n = 311). We note that the smallest subgroups (Normal-like n = 7; Edmondson G4 n = 11) have limited statistical power, and their rankings should be interpreted cautiously. Furthermore, the PAM50 gradient may partly reflect proliferative fraction differences across subtypes (Basal-like tumors have the highest proliferation rates and the lowest ω), meaning that the observed convergence could be driven by proliferation programs overriding tissue-specific expression rather than by a shared transcriptional attractor per se. The TCGA analysis is therefore exploratory in nature: bulk RNA-seq confounds cell-composition shifts, peritumoral inflammation, and RNA quality differences with genuine transcriptional divergence, and these alternative explanations cannot be ruled out at bulk resolution.</w:t>
      </w:r>
    </w:p>
    <w:p>
      <w:pPr>
        <w:pStyle w:val="Heading2"/>
        <w:spacing w:before="420" w:after="160"/>
      </w:pPr>
      <w:r>
        <w:rPr>
          <w:rFonts w:ascii="Arial" w:hAnsi="Arial"/>
          <w:color w:val="000000"/>
          <w:sz w:val="24"/>
          <w:b/>
        </w:rPr>
        <w:t>CKI ranks cell types by cross-organ conservation</w:t>
      </w:r>
    </w:p>
    <w:p>
      <w:pPr>
        <w:spacing w:before="420" w:after="160"/>
      </w:pPr>
      <w:r>
        <w:rPr>
          <w:rFonts w:ascii="Arial" w:hAnsi="Arial"/>
          <w:b/>
          <w:sz w:val="22"/>
        </w:rPr>
        <w:t>Table 2. Cross-organ conservation ranking by cell type (Tabula Sapiens, n=59 same-cell-type cross-organ pairs). Well-sampled cell types (n ≥ 5 cross-organ pairs) are ranked first by mean ω; sparsely sampled cell types (n &lt; 5 pairs; single-pair means shown without SD) are listed below the divider, and their rankings should be interpreted as suggestive only.</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CD8+ T cell</w:t>
            </w:r>
          </w:p>
        </w:tc>
        <w:tc>
          <w:tcPr>
            <w:tcW w:type="dxa" w:w="2351"/>
          </w:tcPr>
          <w:p>
            <w:r>
              <w:t>9.93</w:t>
            </w:r>
          </w:p>
        </w:tc>
        <w:tc>
          <w:tcPr>
            <w:tcW w:type="dxa" w:w="2351"/>
          </w:tcPr>
          <w:p>
            <w:r>
              <w:t>4.62</w:t>
            </w:r>
          </w:p>
        </w:tc>
        <w:tc>
          <w:tcPr>
            <w:tcW w:type="dxa" w:w="2351"/>
          </w:tcPr>
          <w:p>
            <w:r>
              <w:t>6</w:t>
            </w:r>
          </w:p>
        </w:tc>
      </w:tr>
      <w:tr>
        <w:tc>
          <w:tcPr>
            <w:tcW w:type="dxa" w:w="2351"/>
          </w:tcPr>
          <w:p>
            <w:r>
              <w:t>Plasma cell</w:t>
            </w:r>
          </w:p>
        </w:tc>
        <w:tc>
          <w:tcPr>
            <w:tcW w:type="dxa" w:w="2351"/>
          </w:tcPr>
          <w:p>
            <w:r>
              <w:t>10.20</w:t>
            </w:r>
          </w:p>
        </w:tc>
        <w:tc>
          <w:tcPr>
            <w:tcW w:type="dxa" w:w="2351"/>
          </w:tcPr>
          <w:p>
            <w:r>
              <w:t>2.03</w:t>
            </w:r>
          </w:p>
        </w:tc>
        <w:tc>
          <w:tcPr>
            <w:tcW w:type="dxa" w:w="2351"/>
          </w:tcPr>
          <w:p>
            <w:r>
              <w:t>6</w:t>
            </w:r>
          </w:p>
        </w:tc>
      </w:tr>
      <w:tr>
        <w:tc>
          <w:tcPr>
            <w:tcW w:type="dxa" w:w="2351"/>
          </w:tcPr>
          <w:p>
            <w:r>
              <w:t>Neutrophil</w:t>
            </w:r>
          </w:p>
        </w:tc>
        <w:tc>
          <w:tcPr>
            <w:tcW w:type="dxa" w:w="2351"/>
          </w:tcPr>
          <w:p>
            <w:r>
              <w:t>14.22</w:t>
            </w:r>
          </w:p>
        </w:tc>
        <w:tc>
          <w:tcPr>
            <w:tcW w:type="dxa" w:w="2351"/>
          </w:tcPr>
          <w:p>
            <w:r>
              <w:t>8.49</w:t>
            </w:r>
          </w:p>
        </w:tc>
        <w:tc>
          <w:tcPr>
            <w:tcW w:type="dxa" w:w="2351"/>
          </w:tcPr>
          <w:p>
            <w:r>
              <w:t>6</w:t>
            </w:r>
          </w:p>
        </w:tc>
      </w:tr>
      <w:tr>
        <w:tc>
          <w:tcPr>
            <w:tcW w:type="dxa" w:w="2351"/>
          </w:tcPr>
          <w:p>
            <w:r>
              <w:t>Macrophage</w:t>
            </w:r>
          </w:p>
        </w:tc>
        <w:tc>
          <w:tcPr>
            <w:tcW w:type="dxa" w:w="2351"/>
          </w:tcPr>
          <w:p>
            <w:r>
              <w:t>15.49</w:t>
            </w:r>
          </w:p>
        </w:tc>
        <w:tc>
          <w:tcPr>
            <w:tcW w:type="dxa" w:w="2351"/>
          </w:tcPr>
          <w:p>
            <w:r>
              <w:t>8.46</w:t>
            </w:r>
          </w:p>
        </w:tc>
        <w:tc>
          <w:tcPr>
            <w:tcW w:type="dxa" w:w="2351"/>
          </w:tcPr>
          <w:p>
            <w:r>
              <w:t>15</w:t>
            </w:r>
          </w:p>
        </w:tc>
      </w:tr>
      <w:tr>
        <w:tc>
          <w:tcPr>
            <w:tcW w:type="dxa" w:w="2351"/>
          </w:tcPr>
          <w:p>
            <w:r>
              <w:t>NK cell</w:t>
            </w:r>
          </w:p>
        </w:tc>
        <w:tc>
          <w:tcPr>
            <w:tcW w:type="dxa" w:w="2351"/>
          </w:tcPr>
          <w:p>
            <w:r>
              <w:t>17.28</w:t>
            </w:r>
          </w:p>
        </w:tc>
        <w:tc>
          <w:tcPr>
            <w:tcW w:type="dxa" w:w="2351"/>
          </w:tcPr>
          <w:p>
            <w:r>
              <w:t>3.14</w:t>
            </w:r>
          </w:p>
        </w:tc>
        <w:tc>
          <w:tcPr>
            <w:tcW w:type="dxa" w:w="2351"/>
          </w:tcPr>
          <w:p>
            <w:r>
              <w:t>10</w:t>
            </w:r>
          </w:p>
        </w:tc>
      </w:tr>
      <w:tr>
        <w:tc>
          <w:tcPr>
            <w:tcW w:type="dxa" w:w="2351"/>
          </w:tcPr>
          <w:p>
            <w:r>
              <w:t>— Sparsely sampled (n &lt; 5 pairs): interpret with caution —</w:t>
            </w:r>
          </w:p>
        </w:tc>
        <w:tc>
          <w:tcPr>
            <w:tcW w:type="dxa" w:w="2351"/>
          </w:tcPr>
          <w:p>
            <w:r/>
          </w:p>
        </w:tc>
        <w:tc>
          <w:tcPr>
            <w:tcW w:type="dxa" w:w="2351"/>
          </w:tcPr>
          <w:p>
            <w:r/>
          </w:p>
        </w:tc>
        <w:tc>
          <w:tcPr>
            <w:tcW w:type="dxa" w:w="2351"/>
          </w:tcPr>
          <w:p>
            <w:r/>
          </w:p>
        </w:tc>
      </w:tr>
      <w:tr>
        <w:tc>
          <w:tcPr>
            <w:tcW w:type="dxa" w:w="2351"/>
          </w:tcPr>
          <w:p>
            <w:r>
              <w:t>Hepatocyte</w:t>
            </w:r>
          </w:p>
        </w:tc>
        <w:tc>
          <w:tcPr>
            <w:tcW w:type="dxa" w:w="2351"/>
          </w:tcPr>
          <w:p>
            <w:r>
              <w:t>8.57</w:t>
            </w:r>
          </w:p>
        </w:tc>
        <w:tc>
          <w:tcPr>
            <w:tcW w:type="dxa" w:w="2351"/>
          </w:tcPr>
          <w:p>
            <w:r>
              <w:t>—</w:t>
            </w:r>
          </w:p>
        </w:tc>
        <w:tc>
          <w:tcPr>
            <w:tcW w:type="dxa" w:w="2351"/>
          </w:tcPr>
          <w:p>
            <w:r>
              <w:t>1</w:t>
            </w:r>
          </w:p>
        </w:tc>
      </w:tr>
      <w:tr>
        <w:tc>
          <w:tcPr>
            <w:tcW w:type="dxa" w:w="2351"/>
          </w:tcPr>
          <w:p>
            <w:r>
              <w:t>B cell</w:t>
            </w:r>
          </w:p>
        </w:tc>
        <w:tc>
          <w:tcPr>
            <w:tcW w:type="dxa" w:w="2351"/>
          </w:tcPr>
          <w:p>
            <w:r>
              <w:t>9.36</w:t>
            </w:r>
          </w:p>
        </w:tc>
        <w:tc>
          <w:tcPr>
            <w:tcW w:type="dxa" w:w="2351"/>
          </w:tcPr>
          <w:p>
            <w:r>
              <w:t>—</w:t>
            </w:r>
          </w:p>
        </w:tc>
        <w:tc>
          <w:tcPr>
            <w:tcW w:type="dxa" w:w="2351"/>
          </w:tcPr>
          <w:p>
            <w:r>
              <w:t>1</w:t>
            </w:r>
          </w:p>
        </w:tc>
      </w:tr>
      <w:tr>
        <w:tc>
          <w:tcPr>
            <w:tcW w:type="dxa" w:w="2351"/>
          </w:tcPr>
          <w:p>
            <w:r>
              <w:t>Hematopoietic stem cell</w:t>
            </w:r>
          </w:p>
        </w:tc>
        <w:tc>
          <w:tcPr>
            <w:tcW w:type="dxa" w:w="2351"/>
          </w:tcPr>
          <w:p>
            <w:r>
              <w:t>11.12</w:t>
            </w:r>
          </w:p>
        </w:tc>
        <w:tc>
          <w:tcPr>
            <w:tcW w:type="dxa" w:w="2351"/>
          </w:tcPr>
          <w:p>
            <w:r>
              <w:t>—</w:t>
            </w:r>
          </w:p>
        </w:tc>
        <w:tc>
          <w:tcPr>
            <w:tcW w:type="dxa" w:w="2351"/>
          </w:tcPr>
          <w:p>
            <w:r>
              <w:t>1</w:t>
            </w:r>
          </w:p>
        </w:tc>
      </w:tr>
      <w:tr>
        <w:tc>
          <w:tcPr>
            <w:tcW w:type="dxa" w:w="2351"/>
          </w:tcPr>
          <w:p>
            <w:r>
              <w:t>Smooth muscle cell</w:t>
            </w:r>
          </w:p>
        </w:tc>
        <w:tc>
          <w:tcPr>
            <w:tcW w:type="dxa" w:w="2351"/>
          </w:tcPr>
          <w:p>
            <w:r>
              <w:t>12.22</w:t>
            </w:r>
          </w:p>
        </w:tc>
        <w:tc>
          <w:tcPr>
            <w:tcW w:type="dxa" w:w="2351"/>
          </w:tcPr>
          <w:p>
            <w:r>
              <w:t>—</w:t>
            </w:r>
          </w:p>
        </w:tc>
        <w:tc>
          <w:tcPr>
            <w:tcW w:type="dxa" w:w="2351"/>
          </w:tcPr>
          <w:p>
            <w:r>
              <w:t>1</w:t>
            </w:r>
          </w:p>
        </w:tc>
      </w:tr>
      <w:tr>
        <w:tc>
          <w:tcPr>
            <w:tcW w:type="dxa" w:w="2351"/>
          </w:tcPr>
          <w:p>
            <w:r>
              <w:t>Monocyte</w:t>
            </w:r>
          </w:p>
        </w:tc>
        <w:tc>
          <w:tcPr>
            <w:tcW w:type="dxa" w:w="2351"/>
          </w:tcPr>
          <w:p>
            <w:r>
              <w:t>15.19</w:t>
            </w:r>
          </w:p>
        </w:tc>
        <w:tc>
          <w:tcPr>
            <w:tcW w:type="dxa" w:w="2351"/>
          </w:tcPr>
          <w:p>
            <w:r>
              <w:t>—</w:t>
            </w:r>
          </w:p>
        </w:tc>
        <w:tc>
          <w:tcPr>
            <w:tcW w:type="dxa" w:w="2351"/>
          </w:tcPr>
          <w:p>
            <w:r>
              <w:t>1</w:t>
            </w:r>
          </w:p>
        </w:tc>
      </w:tr>
      <w:tr>
        <w:tc>
          <w:tcPr>
            <w:tcW w:type="dxa" w:w="2351"/>
          </w:tcPr>
          <w:p>
            <w:r>
              <w:t>CD4+ T cell</w:t>
            </w:r>
          </w:p>
        </w:tc>
        <w:tc>
          <w:tcPr>
            <w:tcW w:type="dxa" w:w="2351"/>
          </w:tcPr>
          <w:p>
            <w:r>
              <w:t>16.71</w:t>
            </w:r>
          </w:p>
        </w:tc>
        <w:tc>
          <w:tcPr>
            <w:tcW w:type="dxa" w:w="2351"/>
          </w:tcPr>
          <w:p>
            <w:r>
              <w:t>—</w:t>
            </w:r>
          </w:p>
        </w:tc>
        <w:tc>
          <w:tcPr>
            <w:tcW w:type="dxa" w:w="2351"/>
          </w:tcPr>
          <w:p>
            <w:r>
              <w:t>1</w:t>
            </w:r>
          </w:p>
        </w:tc>
      </w:tr>
      <w:tr>
        <w:tc>
          <w:tcPr>
            <w:tcW w:type="dxa" w:w="2351"/>
          </w:tcPr>
          <w:p>
            <w:r>
              <w:t>Classical monocyte</w:t>
            </w:r>
          </w:p>
        </w:tc>
        <w:tc>
          <w:tcPr>
            <w:tcW w:type="dxa" w:w="2351"/>
          </w:tcPr>
          <w:p>
            <w:r>
              <w:t>17.50</w:t>
            </w:r>
          </w:p>
        </w:tc>
        <w:tc>
          <w:tcPr>
            <w:tcW w:type="dxa" w:w="2351"/>
          </w:tcPr>
          <w:p>
            <w:r>
              <w:t>—</w:t>
            </w:r>
          </w:p>
        </w:tc>
        <w:tc>
          <w:tcPr>
            <w:tcW w:type="dxa" w:w="2351"/>
          </w:tcPr>
          <w:p>
            <w:r>
              <w:t>1</w:t>
            </w:r>
          </w:p>
        </w:tc>
      </w:tr>
      <w:tr>
        <w:tc>
          <w:tcPr>
            <w:tcW w:type="dxa" w:w="2351"/>
          </w:tcPr>
          <w:p>
            <w:r>
              <w:t>Naive B cell</w:t>
            </w:r>
          </w:p>
        </w:tc>
        <w:tc>
          <w:tcPr>
            <w:tcW w:type="dxa" w:w="2351"/>
          </w:tcPr>
          <w:p>
            <w:r>
              <w:t>21.06</w:t>
            </w:r>
          </w:p>
        </w:tc>
        <w:tc>
          <w:tcPr>
            <w:tcW w:type="dxa" w:w="2351"/>
          </w:tcPr>
          <w:p>
            <w:r>
              <w:t>—</w:t>
            </w:r>
          </w:p>
        </w:tc>
        <w:tc>
          <w:tcPr>
            <w:tcW w:type="dxa" w:w="2351"/>
          </w:tcPr>
          <w:p>
            <w:r>
              <w:t>1</w:t>
            </w:r>
          </w:p>
        </w:tc>
      </w:tr>
      <w:tr>
        <w:tc>
          <w:tcPr>
            <w:tcW w:type="dxa" w:w="2351"/>
          </w:tcPr>
          <w:p>
            <w:r>
              <w:t>Intermediate monocyte</w:t>
            </w:r>
          </w:p>
        </w:tc>
        <w:tc>
          <w:tcPr>
            <w:tcW w:type="dxa" w:w="2351"/>
          </w:tcPr>
          <w:p>
            <w:r>
              <w:t>21.78</w:t>
            </w:r>
          </w:p>
        </w:tc>
        <w:tc>
          <w:tcPr>
            <w:tcW w:type="dxa" w:w="2351"/>
          </w:tcPr>
          <w:p>
            <w:r>
              <w:t>—</w:t>
            </w:r>
          </w:p>
        </w:tc>
        <w:tc>
          <w:tcPr>
            <w:tcW w:type="dxa" w:w="2351"/>
          </w:tcPr>
          <w:p>
            <w:r>
              <w:t>1</w:t>
            </w:r>
          </w:p>
        </w:tc>
      </w:tr>
      <w:tr>
        <w:tc>
          <w:tcPr>
            <w:tcW w:type="dxa" w:w="2351"/>
          </w:tcPr>
          <w:p>
            <w:r>
              <w:t>Memory B cell</w:t>
            </w:r>
          </w:p>
        </w:tc>
        <w:tc>
          <w:tcPr>
            <w:tcW w:type="dxa" w:w="2351"/>
          </w:tcPr>
          <w:p>
            <w:r>
              <w:t>22.36</w:t>
            </w:r>
          </w:p>
        </w:tc>
        <w:tc>
          <w:tcPr>
            <w:tcW w:type="dxa" w:w="2351"/>
          </w:tcPr>
          <w:p>
            <w:r>
              <w:t>—</w:t>
            </w:r>
          </w:p>
        </w:tc>
        <w:tc>
          <w:tcPr>
            <w:tcW w:type="dxa" w:w="2351"/>
          </w:tcPr>
          <w:p>
            <w:r>
              <w:t>1</w:t>
            </w:r>
          </w:p>
        </w:tc>
      </w:tr>
      <w:tr>
        <w:tc>
          <w:tcPr>
            <w:tcW w:type="dxa" w:w="2351"/>
          </w:tcPr>
          <w:p>
            <w:r>
              <w:t>Endothelial cell</w:t>
            </w:r>
          </w:p>
        </w:tc>
        <w:tc>
          <w:tcPr>
            <w:tcW w:type="dxa" w:w="2351"/>
          </w:tcPr>
          <w:p>
            <w:r>
              <w:t>26.25</w:t>
            </w:r>
          </w:p>
        </w:tc>
        <w:tc>
          <w:tcPr>
            <w:tcW w:type="dxa" w:w="2351"/>
          </w:tcPr>
          <w:p>
            <w:r>
              <w:t>8.59</w:t>
            </w:r>
          </w:p>
        </w:tc>
        <w:tc>
          <w:tcPr>
            <w:tcW w:type="dxa" w:w="2351"/>
          </w:tcPr>
          <w:p>
            <w:r>
              <w:t>3</w:t>
            </w:r>
          </w:p>
        </w:tc>
      </w:tr>
      <w:tr>
        <w:tc>
          <w:tcPr>
            <w:tcW w:type="dxa" w:w="2351"/>
          </w:tcPr>
          <w:p>
            <w:r>
              <w:t>Erythrocyte</w:t>
            </w:r>
          </w:p>
        </w:tc>
        <w:tc>
          <w:tcPr>
            <w:tcW w:type="dxa" w:w="2351"/>
          </w:tcPr>
          <w:p>
            <w:r>
              <w:t>29.36</w:t>
            </w:r>
          </w:p>
        </w:tc>
        <w:tc>
          <w:tcPr>
            <w:tcW w:type="dxa" w:w="2351"/>
          </w:tcPr>
          <w:p>
            <w:r>
              <w:t>23.07</w:t>
            </w:r>
          </w:p>
        </w:tc>
        <w:tc>
          <w:tcPr>
            <w:tcW w:type="dxa" w:w="2351"/>
          </w:tcPr>
          <w:p>
            <w:r>
              <w:t>3</w:t>
            </w:r>
          </w:p>
        </w:tc>
      </w:tr>
    </w:tbl>
    <w:p>
      <w:pPr>
        <w:spacing w:after="160"/>
      </w:pPr>
    </w:p>
    <w:p>
      <w:pPr>
        <w:spacing w:line="276" w:lineRule="auto" w:after="80"/>
        <w:ind w:firstLine="0"/>
      </w:pPr>
      <w:r>
        <w:rPr>
          <w:rFonts w:ascii="Arial" w:hAnsi="Arial"/>
          <w:b w:val="0"/>
          <w:i w:val="0"/>
          <w:color w:val="000000"/>
          <w:sz w:val="22"/>
        </w:rPr>
        <w:t>Among the 4,851 Tabula Sapiens cell-type pairs, 59 are same-cell-type cross-organ comparisons. These pairs allowed us to ask: which cell types maintain their transcriptional identity regardless of where they reside, and which are strongly shaped by their organ environment (Fig. 5; Table 2; Supplementary Fig. S5)?</w:t>
      </w:r>
    </w:p>
    <w:p>
      <w:pPr>
        <w:spacing w:line="276" w:lineRule="auto" w:after="80"/>
        <w:ind w:firstLine="0"/>
      </w:pPr>
      <w:r>
        <w:rPr>
          <w:rFonts w:ascii="Arial" w:hAnsi="Arial"/>
          <w:b w:val="0"/>
          <w:i w:val="0"/>
          <w:color w:val="000000"/>
          <w:sz w:val="22"/>
        </w:rPr>
        <w:t>The cross-organ ω ranking reveals a broad spectrum of conservation across 17 cell types (Table 2). Because single-pair means are statistically uninformative, we anchor interpretation on well-sampled cell types (n ≥ 5 pairs; upper block of Table 2). Among these, CD8+ T cells (mean ω = 9.93 ± 4.62, n = 6) and Plasma cells (mean ω = 10.20 ± 2.03, n = 6) were the most conserved, followed by Neutrophils (mean 14.22 ± 8.49, n = 6) and Macrophages (mean 15.49 ± 8.46, n = 15); Macrophages, the most abundant cell type in cross-organ comparisons (n = 15), showed intermediate conservation (mean 15.49 ± 8.46). At the divergent end, Endothelial cells (mean 26.25 ± 8.59, n = 3) and Erythrocytes (mean 29.36 ± 23.07, n = 3) had the highest cross-organ ω, consistent with the known organ-specific gene programs of endothelial cells (29), although both are represented by only n = 3 pairs, so this end of the ranking is suggestive only. Among the sparsely sampled cell types (n = 1–3 pairs, lower block of Table 2), Hepatocytes (mean 8.57, n = 1) and B cells (mean 9.36, n = 1) show the lowest single-pair ω values, but with one pair each these estimates carry no reliable biological signal, and we do not assign them biological weight.</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S2). This is because CKI explicitly normalizes: two cell populations might share similar highly expressed genes (yielding high Jaccard similarity), but if their constrained baseline k_n is low, even modest functional differences can produce a high ω. This normalization reveals patterns that raw expression similarity misses.</w:t>
      </w:r>
    </w:p>
    <w:p>
      <w:pPr>
        <w:pStyle w:val="Heading2"/>
        <w:spacing w:before="420" w:after="160"/>
      </w:pPr>
      <w:r>
        <w:rPr>
          <w:rFonts w:ascii="Arial" w:hAnsi="Arial"/>
          <w:color w:val="000000"/>
          <w:sz w:val="24"/>
          <w:b/>
        </w:rPr>
        <w:t>Brain regional analysis reveals cell-type differentiation gradients</w:t>
      </w:r>
    </w:p>
    <w:p>
      <w:pPr>
        <w:spacing w:line="276" w:lineRule="auto" w:after="80"/>
        <w:ind w:firstLine="0"/>
      </w:pPr>
      <w:r>
        <w:rPr>
          <w:rFonts w:ascii="Arial" w:hAnsi="Arial"/>
          <w:b w:val="0"/>
          <w:i w:val="0"/>
          <w:color w:val="000000"/>
          <w:sz w:val="22"/>
        </w:rPr>
        <w:t>We applied CKI to the Siletti et al. human brain single-nucleus RNA-seq atlas (12), which profiles ~3.3 million nuclei across 108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886,808 nuclei in groups passing the &gt;= 20-nuclei filter contributed to the analysis. Neurons were excluded because the supercluster_term annotation does not resolve the extensive neuronal subtype heterogeneity (glutamatergic, GABAergic, dopaminergic, etc., spanning dozens of transcriptionally distinct populations). Treating neurons as a single cell class would violate the same-cell-type assumption of our cross-region framework, as different brain regions contain fundamentally different neuron subtype compositions. We therefore restricted the analysis to non-neuronal cells, where the supercluster_term annotation provides a practical level of aggregation for same-cell-type cross-region comparison, and computed CKI ω for all same-cell-type cross-region comparisons (31,764 pairs total) (Fig. 6; Supplementary Fig. S6). These classes are not equally well defined, however: vascular cells and fibroblasts are heterogeneous superclusters that likely aggregate multiple transcriptionally distinct subtypes (perivascular and meningeal populations among others), so their class-level ω values represent supercluster averages rather than properties of a single coherent cell type.</w:t>
      </w:r>
    </w:p>
    <w:p>
      <w:pPr>
        <w:spacing w:line="276" w:lineRule="auto" w:after="80"/>
        <w:ind w:firstLine="0"/>
      </w:pPr>
      <w:r>
        <w:rPr>
          <w:rFonts w:ascii="Arial" w:hAnsi="Arial"/>
          <w:b w:val="0"/>
          <w:i w:val="0"/>
          <w:color w:val="000000"/>
          <w:sz w:val="22"/>
        </w:rPr>
        <w:t>The analysis revealed a pronounced differentiation gradient spanning 6.88-fold. Bergmann glia showed the lowest mean ω (11.17 ± 3.50, n = 21 pairs across 7 regions); because Bergmann glia are restricted to the cerebellum, all 21 of their comparisons are intra-cerebellar, and their low ω partly reflects this anatomical restriction rather than solely a low intrinsic capacity for regional divergence. Bergmann glia were followed by vascular cells (12.60 ± 4.03, n = 3,321 pairs across 82 regions), microglia (13.50 ± 5.07, n = 5,671 pairs across 107 regions), fibroblasts (13.99 ± 4.43, n = 3,403 pairs across 83 regions), and ependymal cells (14.52 ± 4.61, n = 780 pairs across 40 regions). Oligodendrocyte precursors (22.56 ± 14.55, n = 5,671 pairs across 107 regions) and committed oligodendrocyte precursors (30.57 ± 14.78, n = 1,326 pairs across 52 regions) showed intermediate divergence. Oligodendrocytes (42.22 ± 23.84, n = 5,778 pairs across 108 regions) and astrocytes (76.83 ± 41.87, n = 5,778 pairs across 108 regions) were the most regionally divergent, astrocytes showing a 6.88-fold increase over Bergmann glia. Choroid plexus (33.97 ± 35.89, n = 15 pairs across 6 regions) was too sparsely sampled to rank reliably.</w:t>
      </w:r>
    </w:p>
    <w:p>
      <w:pPr>
        <w:spacing w:line="276" w:lineRule="auto" w:after="80"/>
        <w:ind w:firstLine="0"/>
      </w:pPr>
      <w:r>
        <w:rPr>
          <w:rFonts w:ascii="Arial" w:hAnsi="Arial"/>
          <w:b w:val="0"/>
          <w:i w:val="0"/>
          <w:color w:val="000000"/>
          <w:sz w:val="22"/>
        </w:rPr>
        <w:t>To test whether this gradient exceeds chance, we used a cell-type-level block-shuffle null that permutes 10x-library-to-region assignments (B = 1,000; Methods). For 8 of 10 cell classes, regional structure significantly raised the mean ω relative to the null at the permutation resolution floor (one-sided P = 9.99 × 10⁻⁴, standardized effect sizes 4.8–15.8). Bergmann glia reached only marginal significance (P = 0.031, SES = 2.0, n = 21 pairs), and choroid plexus showed no significant regional structure (P = 0.76, n = 15 pairs), both reflecting their limited number of comparisons. The differentiation gradient is therefore statistically robust at the cell-class level for the well-sampled classes.</w:t>
      </w:r>
    </w:p>
    <w:p>
      <w:pPr>
        <w:spacing w:line="276" w:lineRule="auto" w:after="80"/>
        <w:ind w:firstLine="0"/>
      </w:pPr>
      <w:r>
        <w:rPr>
          <w:rFonts w:ascii="Arial" w:hAnsi="Arial"/>
          <w:b w:val="0"/>
          <w:i w:val="0"/>
          <w:color w:val="000000"/>
          <w:sz w:val="22"/>
        </w:rPr>
        <w:t>This gradient aligns with known cell biology. Vascular cells and fibroblasts are tissue-resident populations that are maintained and replenished locally rather than exchanged through the circulation; their low ω values indicate that the core transcriptional programs of these superclusters are broadly conserved across brain regions. Low class-level ω should not be read as spatial uniformity of the vasculature: the blood-brain barrier is itself molecularly heterogeneous between brain regions (30), and meningeal structure differs across compartments (31); rather, such regional specialization is small relative to the transcriptional differences that define distinct cell identities. Microglia, the brain's resident immune cells, showed low-to-intermediate divergence: while microglial phenotypes vary regionally, their core surveillance and phagocytic machinery is shared (32). Oligodendrocytes must myelinate diverse axonal populations and adjust internode lengths regionally, explaining their intermediate-to-high ω values. Astrocytes showed the highest ω, consistent with extensive literature showing that astrocytes express region-specific sets of ion channels, neurotransmitter transporters, and secreted factors tailored to local neuronal circuit demands. The grand mean ω across all 31,764 pairs (32.56) is lower than the astrocyte mean (76.83) because it is dominated by cell types with many pairs and lower ω (e.g., vascular cells n = 3,321 at 12.60, microglia n = 5,671 at 13.50); it is not a contradiction but a consequence of the skewed distribution of pair counts across cell types.</w:t>
      </w:r>
    </w:p>
    <w:p>
      <w:pPr>
        <w:spacing w:line="276" w:lineRule="auto" w:after="80"/>
        <w:ind w:firstLine="0"/>
      </w:pPr>
      <w:r>
        <w:rPr>
          <w:rFonts w:ascii="Arial" w:hAnsi="Arial"/>
          <w:b w:val="0"/>
          <w:i w:val="0"/>
          <w:color w:val="000000"/>
          <w:sz w:val="22"/>
        </w:rPr>
        <w:t>The cross-region ω gradient provides a computational framework for generating hypotheses about cell residence and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This framework must, however, be applied with cell biology in mind. Vascular cells and fibroblasts are tissue-resident and replenished locally, so their low ω is more parsimoniously explained by local maintenance of a conserved structural program than by any inter-regional exchange. Conversely, OPCs—the most actively migrating non-neuronal population—nevertheless show an intermediate-to-high global mean ω (22.56), indicating that migration history shapes ω only for specific region pairs (as reflected in the candidate screen below) rather than at the class-global level. As shown below, however, no individual candidate signal from the migration screen survives multiple-testing correction, so this framework is presented as hypothesis generation complementing lineage tracing and developmental studies rather than as inference.</w:t>
      </w:r>
    </w:p>
    <w:p>
      <w:pPr>
        <w:pStyle w:val="Heading2"/>
        <w:spacing w:before="420" w:after="160"/>
      </w:pPr>
      <w:r>
        <w:rPr>
          <w:rFonts w:ascii="Arial" w:hAnsi="Arial"/>
          <w:color w:val="000000"/>
          <w:sz w:val="24"/>
          <w:b/>
        </w:rPr>
        <w:t>Anomalously similar cell-type/region pairs: a hypothesis-generating screen</w:t>
      </w:r>
    </w:p>
    <w:p>
      <w:pPr>
        <w:spacing w:line="276" w:lineRule="auto" w:after="80"/>
        <w:ind w:firstLine="0"/>
      </w:pPr>
      <w:r>
        <w:rPr>
          <w:rFonts w:ascii="Arial" w:hAnsi="Arial"/>
          <w:b w:val="0"/>
          <w:i w:val="0"/>
          <w:color w:val="000000"/>
          <w:sz w:val="22"/>
        </w:rPr>
        <w:t>Low CKI ω between a cell type across two brain regions indicates transcriptomic similarity beyond baseline expectation. Such similarity can arise from at least four non-exclusive mechanisms: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(33–35)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Mechanism assignment below is therefore a literature-guided interpretation of candidates, not a validated discovery.</w:t>
      </w:r>
    </w:p>
    <w:p>
      <w:pPr>
        <w:spacing w:line="276" w:lineRule="auto" w:after="80"/>
        <w:ind w:firstLine="0"/>
      </w:pPr>
      <w:r>
        <w:rPr>
          <w:rFonts w:ascii="Arial" w:hAnsi="Arial"/>
          <w:b w:val="0"/>
          <w:i w:val="0"/>
          <w:color w:val="000000"/>
          <w:sz w:val="22"/>
        </w:rPr>
        <w:t>To formalize the screen, we used a multiplicative model: for each (cell_type, region_pair) combination, expected_ω = μ_ct × μ_pair / μ_grand, where μ_ct is the cell type's global mean ω, μ_pair is the region pair's mean ω, and μ_grand is the global mean (32.56).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shared developmental history or recent migration. We defined three confidence tiers: Strong (residual &lt; 0.3, ω &lt; 15, lowest ω in the region pair), Moderate (residual &lt; 0.5, ω &lt; 25), and Weak (residual &lt; 0.75, ω &lt; 35; Supplementary Fig. S7).</w:t>
      </w:r>
    </w:p>
    <w:p>
      <w:pPr>
        <w:spacing w:line="276" w:lineRule="auto" w:after="80"/>
        <w:ind w:firstLine="0"/>
      </w:pPr>
      <w:r>
        <w:rPr>
          <w:rFonts w:ascii="Arial" w:hAnsi="Arial"/>
          <w:b w:val="0"/>
          <w:i w:val="0"/>
          <w:color w:val="000000"/>
          <w:sz w:val="22"/>
        </w:rPr>
        <w:t>Among 31,764 cross-region comparisons, threshold criteria identified 55 (0.17%) Strong candidates, with 2,120 (6.67%) Moderate and 6,149 (19.36%) Weak candidates. Under the block-shuffle null (B = 1,000), 37 of the 55 Strong candidates showed raw one-sided P &lt; 0.05, but after Benjamini-Hochberg correction across all 31,764 pairs, none reached q &lt; 0.05 (minimum q = 0.949). This null FDR outcome is structural rather than purely empirical: with m = 31,764 tests, the BH threshold for the smallest ordered P-value (0.05/31,764 ≈ 1.6 × 10⁻⁶) lies roughly 600-fold below the smallest resolvable permutation P (9.99 × 10⁻⁴ at B = 1,000), so q &lt; 0.05 could not be reached at any effect size without B ≈ 6 × 10⁵ permutations. Globally, 938 of 31,764 pairs (3.0%) showed raw P &lt; 0.05, fewer than the ~1,588 (5%) expected under a global null, indicating no aggregate excess of small P-values in the per-pair screen. We therefore present the Strong candidates as a prioritized hypothesis list rather than confirmed discoveries. The candidates concentrate in the oligodendrocyte lineage: OPCs contributed 27 Strong candidates (16 with raw P &lt; 0.05), committed OPCs 12 (13), oligodendrocytes 11 (4), astrocytes 2 (2), fibroblasts 2 (2), and ependymal cells 1 (1); microglia, vascular cells, choroid plexus, and Bergmann glia contributed none.</w:t>
      </w:r>
    </w:p>
    <w:p>
      <w:pPr>
        <w:pStyle w:val="Heading3"/>
        <w:spacing w:before="420" w:after="160"/>
      </w:pPr>
      <w:r>
        <w:rPr>
          <w:rFonts w:ascii="Arial" w:hAnsi="Arial"/>
          <w:color w:val="000000"/>
          <w:sz w:val="22"/>
          <w:b/>
        </w:rPr>
        <w:t>OPCs dominate the candidate list</w:t>
      </w:r>
    </w:p>
    <w:p>
      <w:pPr>
        <w:spacing w:line="276" w:lineRule="auto" w:after="80"/>
        <w:ind w:firstLine="0"/>
      </w:pPr>
      <w:r>
        <w:rPr>
          <w:rFonts w:ascii="Arial" w:hAnsi="Arial"/>
          <w:b w:val="0"/>
          <w:i w:val="0"/>
          <w:color w:val="000000"/>
          <w:sz w:val="22"/>
        </w:rPr>
        <w:t>Oligodendrocyte precursor cells (OPCs) are the most actively migrating cells in the adult CNS, continuously surveilling their environment along vascular scaffolds (36,37). Consistent with this motility, OPCs contributed the largest share of Strong candidates (27 of 55, of which 16 had raw block-shuffle P &lt; 0.05)—roughly 2.7-fold more than expected from their share of comparisons (17.9% of pairs). The OPC candidates show two convergences: nine pairs involve the temporal frontal cortex (TF) as one endpoint (with CA2U-CA3U, MTG, MN, MoAN, PB, RN, SEP, SI), and several involve basal forebrain or diencephalic targets (A13-LEC, A19-LEC, A19-PAG, A1C-Idg, A24-GPe, A5-A7-GPi, A5-A7-IO). Because no candidate survives FDR correction, we read this concentration as consistent with—but by no means proof of—the known developmental dispersal and adult surveillance of the OPC lineage, warranting lineage-tracing follow-up.</w:t>
      </w:r>
    </w:p>
    <w:p>
      <w:pPr>
        <w:pStyle w:val="Heading3"/>
        <w:spacing w:before="420" w:after="160"/>
      </w:pPr>
      <w:r>
        <w:rPr>
          <w:rFonts w:ascii="Arial" w:hAnsi="Arial"/>
          <w:color w:val="000000"/>
          <w:sz w:val="22"/>
          <w:b/>
        </w:rPr>
        <w:t>Committed OPCs and oligodendrocytes: subcortical convergence</w:t>
      </w:r>
    </w:p>
    <w:p>
      <w:pPr>
        <w:spacing w:line="276" w:lineRule="auto" w:after="80"/>
        <w:ind w:firstLine="0"/>
      </w:pPr>
      <w:r>
        <w:rPr>
          <w:rFonts w:ascii="Arial" w:hAnsi="Arial"/>
          <w:b w:val="0"/>
          <w:i w:val="0"/>
          <w:color w:val="000000"/>
          <w:sz w:val="22"/>
        </w:rPr>
        <w:t>Committed oligodendrocyte precursors contributed 12 Strong candidates, all with raw P &lt; 0.05. Eleven of the twelve involve the substantia nigra pars reticulata (SN-RN) as one endpoint (e.g., SI-SN-RN, SEP-SN-RN, Pul-SN-RN, MN-SN-RN, M1C-SN-RN), a striking convergence given the 51 regions available to this class. Mature oligodendrocytes contributed 11 Strong candidates, 4 with raw P &lt; 0.05 (A24-A5/A7, A35/36-SI, A43-HTHpo, FI-SN), all cortex-or-insula versus subcortical pairings. The prevailing view is that adult oligodendrocytes do not migrate between regions; Foerster et al. (38) demonstrated that cortical oligodendrocytes are predominantly dorsally derived, whereas thalamic and brainstem oligodendrocytes are ventrally derived, with persistent cell-autonomous transcriptional identity. The cortex-versus-subcortex orientation of these candidates is compatible with such developmental origin boundaries rather than migration, but given the null FDR result we present this as one candidate interpretation among several.</w:t>
      </w:r>
    </w:p>
    <w:p>
      <w:pPr>
        <w:pStyle w:val="Heading3"/>
        <w:spacing w:before="420" w:after="160"/>
      </w:pPr>
      <w:r>
        <w:rPr>
          <w:rFonts w:ascii="Arial" w:hAnsi="Arial"/>
          <w:color w:val="000000"/>
          <w:sz w:val="22"/>
          <w:b/>
        </w:rPr>
        <w:t>Astrocytes, fibroblasts, and ependymal cells: sparse candidates</w:t>
      </w:r>
    </w:p>
    <w:p>
      <w:pPr>
        <w:spacing w:line="276" w:lineRule="auto" w:after="80"/>
        <w:ind w:firstLine="0"/>
      </w:pPr>
      <w:r>
        <w:rPr>
          <w:rFonts w:ascii="Arial" w:hAnsi="Arial"/>
          <w:b w:val="0"/>
          <w:i w:val="0"/>
          <w:color w:val="000000"/>
          <w:sz w:val="22"/>
        </w:rPr>
        <w:t>Astrocytes, the most regionally divergent class (mean ω = 76.83), contributed only 2 Strong candidates (A19-AON and MoRF-MoEN/MoSR, both raw P &lt; 0.05); fibroblasts contributed 2 (CA1U-SN, GPi-Sub) and ependymal cells 1 (CA1U-SEP), all with raw P &lt; 0.05. Bergmann glia contributed none, consistent with their developmentally patterned, transcriptionally constrained state in the adult cerebellum (39,40) and their low global ω (11.17)—though, as noted above, all Bergmann glia comparisons are intra-cerebellar, so both the low class mean and the absence of candidates partly reflect the anatomical restriction of this class to a single brain structure. None of these sparse signals survive multiple-testing correction; they are catalogued because their region identities are compatible with published developmental mechanisms (compartmentalized astrogenesis (41); cerebellar molecular topography (39)), making them suitable targets for targeted validation.</w:t>
      </w:r>
    </w:p>
    <w:p>
      <w:pPr>
        <w:spacing w:line="276" w:lineRule="auto" w:after="80"/>
        <w:ind w:firstLine="0"/>
      </w:pPr>
      <w:r>
        <w:rPr>
          <w:rFonts w:ascii="Arial" w:hAnsi="Arial"/>
          <w:b w:val="0"/>
          <w:i w:val="0"/>
          <w:color w:val="000000"/>
          <w:sz w:val="22"/>
        </w:rPr>
        <w:t>In summary, the block-shuffle re-analysis substantially tempers the brain candidate catalogue: the cell-class-level differentiation gradient is robust (8 of 10 classes at P = 9.99 × 10⁻⁴, with Bergmann glia marginal at P = 0.031), whereas no individual cell-type/region-pair candidate survives FDR correction. An earlier implementation of this test, which shuffled cell-type labels within each region pair (B = 10,000), produced anti-conservative P-values (36.3% of pairs at the P-value floor) because per-pair shuffling ignores the block structure of 10x libraries; the block-shuffle null used here preserves that structure. We therefore position the entire candidate list as hypothesis-generating, prioritized for lineage-tracing and spatial-transcriptomic validation rather than presented as discoveries.</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n = 6) yielded a mean ω = 6.67 (95% bootstrap CI [4.24, 9.24]), demonstrating that k_f systematically exceeds k_n even for identical populations due to identity-gene selection. We therefore use ω_cal = ω / 6.67 as the operational scale, with ω_cal ≪ 1 and ω_cal ≫ 1 interpreted as functional constraint and enhanced divergence, respectively—not as claims about Darwinian selection regimes.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indicates that CKI captures information that existing approaches miss.</w:t>
      </w:r>
    </w:p>
    <w:p>
      <w:pPr>
        <w:spacing w:line="276" w:lineRule="auto" w:after="8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 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CKI complements rather than replaces existing methods. SAMap (42) and SATURN (4) excel at cross-species alignment; CACIMAR (43)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The TCGA finding that tumors are more transcriptionally homogeneous than normal tissues (median NN/TT &gt; 1.0) is an exploratory observation that requires cautious interpretation. At bulk RNA-seq resolution, the apparent convergence could be driven by shared cell-composition shifts (tumor purity, stromal and immune infiltration), peritumoral inflammation, or systematic RNA quality differences, rather than by genuine transcriptional convergence of tumor cells. If the signal is real, it may point to common vulnerabilities across genetically diverse tumors; the PAM50 gradient (aggressive subtypes show lower ω, consistent with proliferation programs overriding tissue-specific expression) is suggestive but cannot rule out the proliferation-confound explanation. Single-cell or deconvolution-based validation would be needed to disentangle these alternatives. Additionally, the raw ω scale varies substantially across datasets and computation schemes (e.g., BRCA Luminal A ω ≈ 123.4 vs. mean brain regional ω = 32.6). In TCGA, per-pair k_n is comparable to the single-cell datasets (mean 0.005, range 1.6 × 10⁻⁴–5.6 × 10⁻², versus a mean per-pair k_n of 0.003 in the brain single-nucleus dataset), so the higher raw ω in TCGA is driven primarily by a larger k_f: bulk tumor-versus-normal expression differences span thousands of genes, yielding a large numerator relative to the k_n baseline, rather than by compression of the denominator. Cross-dataset ω comparisons should therefore be interpreted as rank-based rather than absolute.</w:t>
      </w:r>
    </w:p>
    <w:p>
      <w:pPr>
        <w:spacing w:line="276" w:lineRule="auto" w:after="8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robust 6.88-fold ω gradient across 10 cell classes (from 11.17 in Bergmann glia to 76.83 in astrocytes), significant at the cell-class level under a block-shuffle null for 8 of 10 classes at the permutation resolution floor (with Bergmann glia marginal at P = 0.031), demonstrating that CKI can detect regional functional specialization even among cells of the same type. The multiplicative residual model identified 55 threshold-passing Strong candidates; under the block-shuffle null (B = 1,000) that permutes 10x-library-to-region assignments while preserving the cell-type-by-region design, 37 of these showed raw P &lt; 0.05, but none survived Benjamini-Hochberg correction across all 31,764 pairs (minimum q = 0.949). We therefore interpret the candidate list as hypothesis-generating rather than as confirmed discoveries. The candidates concentrate in the oligodendrocyte lineage (27 of 55 from OPCs, 12 from committed OPCs, 11 from oligodendrocytes), a pattern consistent with the known motility of OPCs (36,37) and the developmental origin boundaries of mature oligodendrocytes (38), but these interpretations require lineage-tracing validation. Notably, an earlier per-pair shuffle implementation of this test was anti-conservative (36.3% of pairs at the P-value floor) because it ignored the block structure of the experiment; the block-shuffle null rectifies this. These results illustrate a general principle for high-throughput screens in single-cell atlases: statistical claims require nulls that respect the experimental design (library and region blocks), and the absence of FDR-significant signals is itself informative, delimiting what can be concluded from adult transcriptomes alone. Preliminary cross-species validation using shared cell types between mouse and human atlases (44; Supplementary Fig. S2) was limited by the small number of directly comparable cell-type pairs, and ω rankings are moderately conserved between mouse and human for shared cell types, though absolute ω values differ due to different computation schemes (per-pair for mouse, hybrid for human).</w:t>
      </w:r>
    </w:p>
    <w:p>
      <w:pPr>
        <w:spacing w:line="276" w:lineRule="auto" w:after="8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the HRT Atlas v1.0 reference (14) as the HK gene source for all reported analyses. The CKI package also supports data-driven auto-detection (combined detection-rate and CV filtering, use_reference = False) as the universal default, but this was not used in the reported analyses. Sensitivity analysis showed that CKI results are robust to alternative HK definitions (using the lowest 10% variable genes as a constrained set yielded ω correlations r &gt; 0.95). Third, identity-gene selection for k_f introduces systematic inflation: the calibration controls (random split of the same population, per-pair top-200 DE genes for k_f) yielded a mean ω = 6.67, demonstrating that k_f systematically exceeds k_n even for identical populations. This inflation is a direct consequence of pre-selecting genes ranked by the observed difference between the two groups (DE scheme) or by high cross-cell variance (HVG scheme). The permutation test accounts for this by comparing observed ω against a null distribution constructed under the same gene selection procedure with randomly permuted labels. A further concern is the circular dependency inherent in the per-pair k_f scheme: the top-200 differentially expressed genes are selected by |μ_A − μ_B|, meaning that the genes defining “functional divergence” are precisely those with the largest expression differences between the two groups under comparison. While the permutation test preserves this selection procedure under the null hypothesis, the circularity means that k_f magnitudes lack independent external validation and should be interpreted as an upper bound on functional divergence. Additionally, housekeeping gene expression may be dysregulated in cancer (45), potentially affecting the k_n baseline; we verified that HK genes detected by the combined criterion overlapped substantially with the reference set, but systematic cancer-specific HK dysregulation could inflate or deflate omega in a disease-specific manner. Fourth, TCGA analysis was limited to bulk RNA-seq resolution; the per-cancer bootstrap (B = 1,000) permutes sample labels (tumor vs. normal) to construct the null distribution. With 5 cancer types, TCGA results should be interpreted as exploratory. Fifth, the brain analysis uses post-mortem tissue; post-mortem interval (PMI) varies across samples and may differentially affect RNA integrity by brain region and cell type, potentially introducing systematic biases in regional omega comparisons. Neuron-specific RNA degradation signatures (e.g., activity-dependent transcripts with short half-lives) could be disproportionately affected. However, oligodendrocyte-lineage signals dominate the residual model candidates, and glial cell types tend to be less sensitive to PMI-related degradation than neurons. Developmental time courses with controlled collection conditions would provide stronger evidence for migration inference and help disentangle PMI effects from genuine developmental signatures. Sixth, the brain regional analysis generated 31,764 cross-region comparisons. Benjamini-Hochberg FDR correction was applied within each dataset separately (bootstrap: m = 10 for brain, 17 for human, 15 for mouse; residual model: m = 31,764 for unadjusted permutation P-values). The 55 Strong candidates from the multiplicative residual model represent the most extreme deviations from the multiplicative expectation; none survived Benjamini-Hochberg correction under the block-shuffle null (minimum q = 0.949), and they should be interpreted as hypothesis-generating signals requiring independent validation. The systematic concordance with known developmental biology provides post hoc biological plausibility, but formal FDR-controlled discovery would require larger cohorts and pre-registered hypotheses. Seventh, the ω distribution is right-skewed and non-normal for the large datasets (brain skewness = 2.10, excess kurtosis = 4.96, D’Agostino-Pearson P &lt; 2.2 × 10⁻¹⁶; human Shapiro-Wilk P = 7.6 × 10⁻⁴²; the mouse pilot at n = 15 pairs does not reject normality, P = 0.071). Consequently, SES is reported as a descriptive measure of effect size rather than a parametric test statistic. Eighth, permutation testing of the residual model with the block-shuffle null (B = 1,000, Benjamini-Hochberg FDR across all 31,764 pairs) showed that 37 of 55 Strong threshold-passing signals had raw P &lt; 0.05, but none survived FDR correction (minimum q = 0.949). These signals should be interpreted with caution as candidates for validation rather than robust biological patterns. Ninth, bootstrap 95% confidence intervals (B = 10,000, pair-level resampling) were computed for all key ω estimates; confidence interval widths scale inversely with the number of contributing pairs, such that cell types with fewer regional comparisons (e.g., Bergmann glia, 21 pairs) yield wider intervals than well-sampled types (e.g., astrocytes, 5,778 pairs). Tenth, the empirical calibration baseline (ω = 6.67) is derived from only n = 6 split-half controls in a single species (mouse); while calibrated omega (ω_cal = ω / 6.67) restores the interpretability of the ratio framework, the baseline may vary across tissues, species, and sequencing platforms, and a larger multi-dataset calibration study would strengthen the generality of this constant. Eleventh, k_n and k_f are computed on gene sets of different sizes (~1,130 HK genes vs. 200–2,000 HVG genes); while simulation confirmed that JS divergence between random distributions is dimensionally invariant (ratio = 1.001 between d = 1,130 and d = 2,000; Supplementary Fig. S10), the systematic inflation of k_f arises from HVG selection bias rather than dimensionality, and the calibrated omega absorbs this bias. Twelfth, although all reported analyses compute k_n per pair on the shared HK gene set, k_n varies substantially across pairs (brain CV = 92.89%); a sensitivity analysis contrasting per-pair k_n with a global-k_n variant (k_n computed once from the full gene-by-cell-type pseudobulk matrix) showed substantially different ω rankings (Spearman ρ = 0.181), so the choice of k_n estimator is not innocuous, and fine-grained ω orderings should be interpreted with the estimator choice in mind. Thirteenth, BH-FDR correction is applied separately within each dataset (mouse, human, TCGA, brain), which means that significance thresholds are not directly comparable across datasets; cross-dataset meta-analysis would require a unified multiple-testing framework. Fourteenth, CKI has not been validated on synthetic data with known ground-truth selection signals; while the calibration controls provide internal consistency checks, a simulation benchmark with injected functional divergence of known magnitude would provide stronger evidence for the method’s sensitivity and specificity. Fifteenth, key parameters (softmax temperature, pseudocount ε = 1e-9, top-200 DE genes for k_f, HVG count of 2,000, log-base 2 for JS divergence) were chosen based on practical considerations rather than formal optimization; while sensitivity analyses showed robustness to parameter variation, a systematic parameter sweep across all parameters simultaneously was not performed.</w:t>
      </w:r>
    </w:p>
    <w:p>
      <w:pPr>
        <w:spacing w:line="276" w:lineRule="auto" w:after="80"/>
        <w:ind w:firstLine="0"/>
      </w:pPr>
      <w:r>
        <w:rPr>
          <w:rFonts w:ascii="Arial" w:hAnsi="Arial"/>
          <w:b w:val="0"/>
          <w:i w:val="0"/>
          <w:color w:val="000000"/>
          <w:sz w:val="22"/>
        </w:rPr>
        <w:t>Sixteenth, the brain multiplicative-residual screen used a block-shuffle permutation null (B = 1,000) with 10x libraries as blocks. No cell-type/region-pair candidate survived Benjamini-Hochberg FDR correction (minimum q = 0.949 across m = 31,764 pairs); the 37 Strong-tier pairs with raw P &lt; 0.05 are reported as hypothesis-generating signals, not FDR-controlled discoveries. Because per-signal tests share cell types and regions, BH correction over all pairs is itself approximate; a hierarchical or permutation-based FDR estimate could further refine the multiplicity model. Seventeenth, the empirical calibration factor (ω_cal = ω / 6.67, 95% bootstrap CI [4.24, 9.24]) was derived from mouse split-half controls using the same per-pair DE hybrid scheme (per-pair k_n on the shared HK gene set; per-pair top-200 DE genes for k_f) as the human, TCGA, and brain analyses, so the calibration is scheme-matched for those datasets. The mouse full pairwise matrix (703 pairs, Supplementary Fig. S1) is the one analysis on a different gene-selection scheme (global top-2,000 HVGs for k_f); applying the pilot-derived factor to that matrix, or comparing absolute ω across the two schemes, should be done with the caveat that global HVG selection and per-pair DE selection produce k_f on different scales. The bootstrap CI [4.24, 9.24] quantifies the uncertainty of the baseline estimate: applying the lower bound (ω / 4.24) would shift ω_cal upward by a factor of 1.57, while the upper bound (ω / 9.24) would shift it downward by a factor of 0.72. All CKI conclusions—which rely on rank-based interpretation (ω gradients across cell types, Spearman correlations with external metrics, and permutation-based significance) rather than absolute ω_cal thresholds—are robust to this range. Scheme-specific transferability should ideally be verified through dedicated split-half calibration experiments within each dataset; we provide the necessary code in the CKI package (calibrate_omega function) for users to perform such validation on their own data.</w:t>
      </w:r>
    </w:p>
    <w:p>
      <w:pPr>
        <w:spacing w:line="276" w:lineRule="auto" w:after="80"/>
        <w:ind w:firstLine="0"/>
      </w:pPr>
      <w:r>
        <w:rPr>
          <w:rFonts w:ascii="Arial" w:hAnsi="Arial"/>
          <w:b w:val="0"/>
          <w:i w:val="0"/>
          <w:color w:val="000000"/>
          <w:sz w:val="22"/>
        </w:rPr>
        <w:t>Eighteenth, the one-sided permutation test (H1: ω_obs &gt; ω_null) does not detect functional constraint (ω_obs &lt; ω_null); users investigating bidirectional hypotheses should employ two-sided permutation tests, available via the direction parameter in the CKI package. Nineteenth, the block-shuffle null treats each 10x library as an atomic block and permutes library-to-region assignments; it preserves per-region library counts but assumes libraries are otherwise exchangeable. Any systematic library-level confounding not removed by the design (e.g., batch correlated with dissection order) would distort the null in ways the permutation cannot capture. In addition, B = 1,000 permutations bounds the resolvable P-value at 9.99 × 10⁻⁴; because the BH threshold for the smallest of m = 31,764 ordered P-values is 0.05/31,764 ≈ 1.6 × 10⁻⁶, detecting FDR-significant per-pair signals would require B ≈ 6 × 10⁵ permutations (or a hierarchically structured multiplicity model), not merely stronger effects. Twentieth, the CKI package applies a k_n floor (kn_min = 1 × 10⁻⁴) that caps the denominator in ω = k_f/k_n to avoid division by near-zero values. The analysis scripts reported here compute k_n per pair with a positivity guard instead of applying this floor, so no reported ω was capped: the minimum observed per-pair k_n was 1.1 × 10⁻⁴ (mouse pilot), 1.6 × 10⁻⁴ (TCGA), 6.3 × 10⁻⁴ (human), and 7.7 × 10⁻⁵ (brain); only the brain minimum falls below the package floor level, so users reproducing the brain analysis through the package API with default settings would obtain a marginally capped k_n for a small number of pairs. In datasets where k_n genuinely approaches zero (e.g., highly averaged bulk profiles), the floor would cap the denominator and inflate ω; users comparing absolute ω magnitudes across datasets should verify that per-pair k_n is well above the floor. Twenty-first, the brain analysis was restricted to non-neuronal cell types because the supercluster_term annotation does not resolve neuronal subtype heterogeneity; this limits the generalizability of our brain regional findings to non-neuronal lineages and should be noted when interpreting the scope of our cross-region analysis.</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420" w:after="160"/>
      </w:pPr>
      <w:r>
        <w:rPr>
          <w:rFonts w:ascii="Arial" w:hAnsi="Arial"/>
          <w:color w:val="000000"/>
          <w:sz w:val="28"/>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(46). TCGA data: NCI Genomic Data Commons (https://portal.gdc.cancer.gov/). HRT Atlas (optional human/mouse HK reference): https://www.housekeeping.unicamp.br. Human brain atlas: CZ CELLxGENE Discover (collection ID as referenced in (12), accessed July 2025). PAM50 centroids: from Parker et al. (23). MSigDB Hallmark gene sets: from Liberzon et al. (47). The CKI source code (v0.3.1) is publicly available at https://github.com/zhanglknt/CKI-cell-type-identification (tag v0.3.1) under the MIT License. A permanent archival copy has been deposited at Zenodo (DOI: 10.5281/zenodo.15670808). The package requires Python ≥3.10 and runs on Linux, macOS, and Windows. A Dockerfile is provided in the repository for containerized reproducibility. All analysis notebooks and processed data matrices are available in the same GitHub repository (tag v0.3.1) and are included in the Zenodo archive (DOI: 10.5281/zenodo.15670808).</w:t>
      </w:r>
    </w:p>
    <w:p>
      <w:pPr>
        <w:pStyle w:val="Heading1"/>
        <w:spacing w:before="420" w:after="160"/>
      </w:pPr>
      <w:r>
        <w:rPr>
          <w:rFonts w:ascii="Arial" w:hAnsi="Arial"/>
          <w:color w:val="000000"/>
          <w:sz w:val="28"/>
          <w:b/>
        </w:rPr>
        <w:t>Supplementary Data</w:t>
      </w:r>
    </w:p>
    <w:p>
      <w:pPr>
        <w:spacing w:line="276" w:lineRule="auto" w:after="80"/>
        <w:ind w:firstLine="0"/>
      </w:pPr>
      <w:r>
        <w:rPr>
          <w:rFonts w:ascii="Arial" w:hAnsi="Arial"/>
          <w:b w:val="0"/>
          <w:i w:val="0"/>
          <w:color w:val="000000"/>
          <w:sz w:val="22"/>
        </w:rPr>
        <w:t>Supplementary Data are available at NAR Online.</w:t>
      </w:r>
    </w:p>
    <w:p>
      <w:pPr>
        <w:pStyle w:val="Heading1"/>
        <w:spacing w:before="420" w:after="160"/>
      </w:pPr>
      <w:r>
        <w:rPr>
          <w:rFonts w:ascii="Arial" w:hAnsi="Arial"/>
          <w:color w:val="000000"/>
          <w:sz w:val="28"/>
          <w:b/>
        </w:rPr>
        <w:t>Acknowledgements</w:t>
      </w:r>
    </w:p>
    <w:p>
      <w:pPr>
        <w:spacing w:line="276" w:lineRule="auto" w:after="8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Author contributions</w:t>
      </w:r>
    </w:p>
    <w:p>
      <w:pPr>
        <w:spacing w:line="276" w:lineRule="auto" w:after="80"/>
        <w:ind w:firstLine="0"/>
      </w:pPr>
      <w:r>
        <w:rPr>
          <w:rFonts w:ascii="Arial" w:hAnsi="Arial"/>
          <w:b w:val="0"/>
          <w:i w:val="0"/>
          <w:color w:val="000000"/>
          <w:sz w:val="22"/>
        </w:rPr>
        <w:t>L.Z. conceived the study, developed the CKI algorithm, performed all analyses, and wrote the manuscript. X.W. contributed to data analysis and manuscript revision. Both authors read and approved the final manuscript.</w:t>
      </w:r>
    </w:p>
    <w:p>
      <w:pPr>
        <w:pStyle w:val="Heading1"/>
        <w:spacing w:before="420" w:after="160"/>
      </w:pPr>
      <w:r>
        <w:rPr>
          <w:rFonts w:ascii="Arial" w:hAnsi="Arial"/>
          <w:color w:val="000000"/>
          <w:sz w:val="28"/>
          <w:b/>
        </w:rPr>
        <w:t>Funding</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420" w:after="160"/>
      </w:pPr>
      <w:r>
        <w:rPr>
          <w:rFonts w:ascii="Arial" w:hAnsi="Arial"/>
          <w:color w:val="000000"/>
          <w:sz w:val="28"/>
          <w:b/>
        </w:rPr>
        <w:t>Conflict of interest</w:t>
      </w:r>
    </w:p>
    <w:p>
      <w:pPr>
        <w:spacing w:line="276" w:lineRule="auto" w:after="80"/>
        <w:ind w:firstLine="0"/>
      </w:pPr>
      <w:r>
        <w:rPr>
          <w:rFonts w:ascii="Arial" w:hAnsi="Arial"/>
          <w:b w:val="0"/>
          <w:i w:val="0"/>
          <w:color w:val="000000"/>
          <w:sz w:val="22"/>
        </w:rPr>
        <w:t>The authors declare no competing interests.</w:t>
      </w:r>
    </w:p>
    <w:p>
      <w:pPr>
        <w:pStyle w:val="Heading1"/>
        <w:spacing w:before="420" w:after="160"/>
      </w:pPr>
      <w:r>
        <w:rPr>
          <w:rFonts w:ascii="Arial" w:hAnsi="Arial"/>
          <w:color w:val="000000"/>
          <w:sz w:val="28"/>
          <w:b/>
        </w:rPr>
        <w:t>Artificial intelligence use</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baseline-normalized transcriptomic remodeling. (B) Computational pipeline: raw count matrix → pseudobulk → JS divergence on HK genes (k_n) and identity genes (k_f) → ω = k_f/k_n. (C) Bootstrap ω distribution (B = 1,000 permutations, mouse pilot) with median indicated by dashed line. (D) Scatter plot of k_n vs. k_f, showing that functional variation dominates constrained baseline. (E) ω distribution with ω = 1 (baseline) marked by dashed line.</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remains relatively constrained. (C) Spearman correlation between CKI ω and four standard metrics (Cosine, Raw JS, Marker Jaccard, Spearman) on Tabula Muris data. All show negative correlation, confirming ω captures complementary information. (D) ω distribution by comparison category (log scale) from the mouse pilot calibration dataset. Boxes: median and IQR; whiskers, 1.5× IQR. ω increases monotonically from control splits (C) to cross-organ comparisons (X); X vs. C, one-sided Mann-Whitney test.</w:t>
      </w:r>
    </w:p>
    <w:p>
      <w:pPr>
        <w:spacing w:line="276" w:lineRule="auto" w:after="80"/>
        <w:ind w:firstLine="0"/>
      </w:pPr>
      <w:r>
        <w:rPr>
          <w:rFonts w:ascii="Arial" w:hAnsi="Arial"/>
          <w:b w:val="0"/>
          <w:i w:val="0"/>
          <w:color w:val="000000"/>
          <w:sz w:val="22"/>
        </w:rPr>
        <w:t>Figure 3. CKI captures independent information. (A) Spearman correlation heatmap of five metrics on n = 4,851 Tabula Sapiens pairs. CKI ω is negatively correlated with all four standard metrics. Standard metrics form a positive cluster. (B) Scatter plot of CKI ω vs. k_n (baseline rate) on Tabula Sapiens data (n = 4,851 pairs), colored by same-organ vs. cross-organ pairs, with Spearman r. (C) ROC curves for cell-type classification across five metrics on Tabula Sapiens data. (D) ω by comparison category: S (same cell type, different organ), D (different cell type, same organ), X (different cell type, different organ); the C category (random split of the same population) has no pairs in this dataset and is not shown. Box plots show log10(ω) distribution. (E) AUC (cell-type classification) vs. interpretability (decomposability) comparison across five metrics. CKI ω had the lowest AUC of all five metrics (0.680, versus 0.690 for Spearman, 0.801 for marker Jaccard, 0.849 for raw JS, and 0.887 for cosine) but is the only fully decomposable metric into baseline (k_n) and functional (k_f) components.</w:t>
      </w:r>
    </w:p>
    <w:p>
      <w:pPr>
        <w:spacing w:line="276" w:lineRule="auto" w:after="8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at bulk resolution (exploratory; pending single-cell or deconvolution-based validation). (B) ω distributions for normal-normal (NN) vs. tumor-tumor (TT) comparisons per cancer type. (C) Median TN/NN ω ratio (tumor-normal vs. normal-normal) across five cancer types. (D) Bootstrap standardized effect size (SES) for NN vs. TT comparisons per cancer type. (E) Tissue-level pairwise ω matrix heatmap across five cancer types.</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with well-sampled cell types (n ≥ 5 pairs) ranked first and sparsely sampled types (n &lt; 5) listed separately. Among well-sampled types, plasma cells, CD8+ T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(mean ω per class, block-shuffle observed landscape). Bergmann glia (mean ω = 11.17) shows the lowest regional divergence; astrocytes (mean ω = 76.83) show the highest (6.88-fold gradient). (C) Astrocyte ω across representative brain regions (region × region matrix; warmer colors, higher ω). (D) Migration candidate detection: multiplicative residual model identifies 55 Strong candidates (residual &lt; 0.3, ω &lt; 15, lowest ω in pair) among 31,764 cross-region comparisons, shown as tier counts as a percentage of all pairs. (E) Observed vs. expected ω for the five strongest OPC Strong candidates (lowest residuals), showing the gap between observed regional similarity and the cell-type-specific expectation.</w:t>
      </w:r>
    </w:p>
    <w:p>
      <w:pPr>
        <w:pStyle w:val="Heading1"/>
        <w:spacing w:before="420" w:after="160"/>
      </w:pPr>
      <w:r>
        <w:rPr>
          <w:rFonts w:ascii="Arial" w:hAnsi="Arial"/>
          <w:color w:val="000000"/>
          <w:sz w:val="28"/>
          <w:b/>
        </w:rPr>
        <w:t>Supplementary Figure legends</w:t>
      </w:r>
    </w:p>
    <w:p>
      <w:pPr>
        <w:spacing w:line="276" w:lineRule="auto" w:after="8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w:t>
      </w:r>
    </w:p>
    <w:p>
      <w:pPr>
        <w:spacing w:line="276" w:lineRule="auto" w:after="8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4,851 pairs).</w:t>
      </w:r>
    </w:p>
    <w:p>
      <w:pPr>
        <w:spacing w:line="276" w:lineRule="auto" w:after="80"/>
        <w:ind w:firstLine="0"/>
      </w:pPr>
      <w:r>
        <w:rPr>
          <w:rFonts w:ascii="Arial" w:hAnsi="Arial"/>
          <w:b w:val="0"/>
          <w:i w:val="0"/>
          <w:color w:val="000000"/>
          <w:sz w:val="22"/>
        </w:rPr>
        <w:t>Supplementary Figure S3. TCGA per-cancer matrices. Pairwise ω matrices for five cancer types (BRCA, KIRC, LIHC, LUAD, LUSC) showing tissue-level transcriptomic divergence structure within each cancer cohort.</w:t>
      </w:r>
    </w:p>
    <w:p>
      <w:pPr>
        <w:spacing w:line="276" w:lineRule="auto" w:after="8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8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8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ω distribution per cell class (log scale; boxes: median and IQR, whiskers 1.5× IQR), from the block-shuffle observed landscape. (C) ω vs. number of regions (n_regions) per cell type, with Spearman ρ reported; broader spatial distribution is associated with greater transcriptomic divergence. (D) Region-region ω matrix for astrocytes across representative brain regions. (E) Top migration candidates (Strong tier) by 1 − residual.</w:t>
      </w:r>
    </w:p>
    <w:p>
      <w:pPr>
        <w:spacing w:line="276" w:lineRule="auto" w:after="8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contribute the largest share (27 of 55), followed by committed OPCs (13) and oligodendrocytes (12); the candidate list is dominated by the oligodendrocyte lineage. Because no candidate survives FDR correction (minimum q = 0.949), these counts describe a hypothesis-generating screen rather than validated migration events. (C) Top 10 Strong candidates (lowest multiplicative residuals), showing observed ω for each cell-type/region pair. (D) Migration candidates by cell type and confidence tier, showing tier distribution across all 10 non-neuronal cell classes.</w:t>
      </w:r>
    </w:p>
    <w:p>
      <w:pPr>
        <w:spacing w:line="276" w:lineRule="auto" w:after="80"/>
        <w:ind w:firstLine="0"/>
      </w:pPr>
      <w:r>
        <w:rPr>
          <w:rFonts w:ascii="Arial" w:hAnsi="Arial"/>
          <w:b w:val="0"/>
          <w:i w:val="0"/>
          <w:color w:val="000000"/>
          <w:sz w:val="22"/>
        </w:rPr>
        <w:t>Supplementary Figure S8.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w:t>
      </w:r>
    </w:p>
    <w:p>
      <w:pPr>
        <w:spacing w:line="276" w:lineRule="auto" w:after="80"/>
        <w:ind w:firstLine="0"/>
      </w:pPr>
      <w:r>
        <w:rPr>
          <w:rFonts w:ascii="Arial" w:hAnsi="Arial"/>
          <w:b w:val="0"/>
          <w:i w:val="0"/>
          <w:color w:val="000000"/>
          <w:sz w:val="22"/>
        </w:rPr>
        <w:t>Supplementary Figure S9. Block-shuffle permutation null for the residual model. Distribution of multiplicative residuals under block-shuffle permutation of library-to-region assignments (B = 1,000), compared against observed residuals for Strong candidates.</w:t>
      </w:r>
    </w:p>
    <w:p>
      <w:pPr>
        <w:spacing w:line="276" w:lineRule="auto" w:after="80"/>
        <w:ind w:firstLine="0"/>
      </w:pPr>
      <w:r>
        <w:rPr>
          <w:rFonts w:ascii="Arial" w:hAnsi="Arial"/>
          <w:b w:val="0"/>
          <w:i w:val="0"/>
          <w:color w:val="000000"/>
          <w:sz w:val="22"/>
        </w:rPr>
        <w:t>Supplementary Figure S10.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80"/>
        <w:ind w:firstLine="0"/>
      </w:pPr>
      <w:r>
        <w:rPr>
          <w:rFonts w:ascii="Arial" w:hAnsi="Arial"/>
          <w:b w:val="0"/>
          <w:i w:val="0"/>
          <w:color w:val="000000"/>
          <w:sz w:val="22"/>
        </w:rPr>
        <w:t>Supplementary Figure S11. Per-pair k_n variability. (A) Per-pair k_n (mean ± SD) by cell type in the brain atlas, showing substantial cross-pair variability (CV = 92.89%). (B) Scatter plot of ω computed with per-pair k_n vs. global k_n (Spearman ρ = 0.181), demonstrating that pair-specific k_n yields substantially different rankings.</w:t>
      </w:r>
    </w:p>
    <w:p>
      <w:pPr>
        <w:spacing w:line="276" w:lineRule="auto" w:after="80"/>
        <w:ind w:firstLine="0"/>
      </w:pPr>
      <w:r>
        <w:rPr>
          <w:rFonts w:ascii="Arial" w:hAnsi="Arial"/>
          <w:b w:val="0"/>
          <w:i w:val="0"/>
          <w:color w:val="000000"/>
          <w:sz w:val="22"/>
        </w:rPr>
        <w:t>Supplementary Figure S12. Calibrated omega. (A) Raw vs. calibrated ω (ω_cal = ω / 6.67) by brain cell type. (B) Calibrated ω distribution across all 31,764 brain pairs, with calibration baseline (ω_cal = 1.0) and mean indicated.</w:t>
      </w:r>
    </w:p>
    <w:p>
      <w:pPr>
        <w:spacing w:line="276" w:lineRule="auto" w:after="80"/>
        <w:ind w:firstLine="0"/>
      </w:pPr>
      <w:r>
        <w:rPr>
          <w:rFonts w:ascii="Arial" w:hAnsi="Arial"/>
          <w:b w:val="0"/>
          <w:i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descriptive statistics are reported as mean ± SD or median [IQR] as indicated. Effect sizes include standardized effect size (SES = (ω_obs − mean(ω_null)) / sd(ω_null)), computed from the bootstrap permutation null distribution. Bootstrap 95% confidence intervals use B = 10,000 resamples. All analyses use JS divergence with base-2 logarithm. Sample sizes (n) are reported for each comparison.</w:t>
      </w:r>
    </w:p>
    <w:p>
      <w:pPr>
        <w:pStyle w:val="Heading1"/>
        <w:spacing w:before="420" w:after="160"/>
      </w:pPr>
      <w:r>
        <w:rPr>
          <w:rFonts w:ascii="Arial" w:hAnsi="Arial"/>
          <w:color w:val="000000"/>
          <w:sz w:val="28"/>
          <w:b/>
        </w:rPr>
        <w:t>References</w:t>
      </w:r>
    </w:p>
    <w:p>
      <w:pPr>
        <w:spacing w:line="276" w:lineRule="auto" w:after="60"/>
      </w:pPr>
      <w:r>
        <w:rPr>
          <w:rFonts w:ascii="Arial" w:hAnsi="Arial"/>
          <w:color w:val="000000"/>
          <w:sz w:val="20"/>
        </w:rPr>
        <w:t>Regev,A., Teichmann,S.A., Lander,E.S., Amit,I., Benoist,C., Birney,E., Bodenmiller,B., Campbell,P., Carninci,P., Clatworthy,M. et al. (2017) The Human Cell Atlas. *eLife*, **6**, e27041.</w:t>
      </w:r>
    </w:p>
    <w:p>
      <w:pPr>
        <w:spacing w:line="276" w:lineRule="auto" w:after="60"/>
      </w:pPr>
      <w:r>
        <w:rPr>
          <w:rFonts w:ascii="Arial" w:hAnsi="Arial"/>
          <w:color w:val="000000"/>
          <w:sz w:val="20"/>
        </w:rPr>
        <w:t>Korsunsky,I., Millard,N., Fan,J., Slowikowski,K., Zhang,F., Wei,K., Baglaenko,Y., Brenner,M., Loh,P.R. and Raychaudhuri,S. (2019) Fast, sensitive and accurate integration of single-cell data with Harmony. *Nat. Methods*, **16**, 1289–1296.</w:t>
      </w:r>
    </w:p>
    <w:p>
      <w:pPr>
        <w:spacing w:line="276" w:lineRule="auto" w:after="60"/>
      </w:pPr>
      <w:r>
        <w:rPr>
          <w:rFonts w:ascii="Arial" w:hAnsi="Arial"/>
          <w:color w:val="000000"/>
          <w:sz w:val="20"/>
        </w:rPr>
        <w:t>Lopez,R., Regier,J., Cole,M.B., Jordan,M.I. and Yosef,N. (2018) Deep generative modeling for single-cell transcriptomics. *Nat. Methods*, **15**, 1053–1058.</w:t>
      </w:r>
    </w:p>
    <w:p>
      <w:pPr>
        <w:spacing w:line="276" w:lineRule="auto" w:after="60"/>
      </w:pPr>
      <w:r>
        <w:rPr>
          <w:rFonts w:ascii="Arial" w:hAnsi="Arial"/>
          <w:color w:val="000000"/>
          <w:sz w:val="20"/>
        </w:rPr>
        <w:t>Rosen,Y., Brbic,M., Roohani,Y., Swanson,K., Li,Z. and Leskovec,J. (2024) Toward universal cell embeddings: integrating single-cell RNA-seq datasets across species with SATURN. *Nat. Methods*, **21**, 1492–1500.</w:t>
      </w:r>
    </w:p>
    <w:p>
      <w:pPr>
        <w:spacing w:line="276" w:lineRule="auto" w:after="60"/>
      </w:pPr>
      <w:r>
        <w:rPr>
          <w:rFonts w:ascii="Arial" w:hAnsi="Arial"/>
          <w:color w:val="000000"/>
          <w:sz w:val="20"/>
        </w:rPr>
        <w:t>Tran,H.T.N., Ang,K.S., Chevrier,M., Zhang,X., Lee,N.Y.S., Goh,M. and Chen,J. (2020) A benchmark of batch-effect correction methods for single-cell RNA sequencing data. *Genome Biol.*, **21**, 12.</w:t>
      </w:r>
    </w:p>
    <w:p>
      <w:pPr>
        <w:spacing w:line="276" w:lineRule="auto" w:after="60"/>
      </w:pPr>
      <w:r>
        <w:rPr>
          <w:rFonts w:ascii="Arial" w:hAnsi="Arial"/>
          <w:color w:val="000000"/>
          <w:sz w:val="20"/>
        </w:rPr>
        <w:t>Nei,M. and Gojobori,T. (1986) Simple methods for estimating the numbers of synonymous and nonsynonymous nucleotide substitutions. *Mol. Biol. Evol.*, **3**, 418–426.</w:t>
      </w:r>
    </w:p>
    <w:p>
      <w:pPr>
        <w:spacing w:line="276" w:lineRule="auto" w:after="60"/>
      </w:pPr>
      <w:r>
        <w:rPr>
          <w:rFonts w:ascii="Arial" w:hAnsi="Arial"/>
          <w:color w:val="000000"/>
          <w:sz w:val="20"/>
        </w:rPr>
        <w:t>Yang,Z. (2007) PAML 4: phylogenetic analysis by maximum likelihood. *Mol. Biol. Evol.*, **24**, 1586–1591.</w:t>
      </w:r>
    </w:p>
    <w:p>
      <w:pPr>
        <w:spacing w:line="276" w:lineRule="auto" w:after="60"/>
      </w:pPr>
      <w:r>
        <w:rPr>
          <w:rFonts w:ascii="Arial" w:hAnsi="Arial"/>
          <w:color w:val="000000"/>
          <w:sz w:val="20"/>
        </w:rPr>
        <w:t>Tabula Muris Consortium (2018) Single-cell transcriptomics of 20 mouse organs creates a Tabula Muris. *Nature*, **562**, 367–372.</w:t>
      </w:r>
    </w:p>
    <w:p>
      <w:pPr>
        <w:spacing w:line="276" w:lineRule="auto" w:after="60"/>
      </w:pPr>
      <w:r>
        <w:rPr>
          <w:rFonts w:ascii="Arial" w:hAnsi="Arial"/>
          <w:color w:val="000000"/>
          <w:sz w:val="20"/>
        </w:rPr>
        <w:t>Tabula Sapiens Consortium (2022) The Tabula Sapiens: a multiple-organ, single-cell transcriptomic atlas of humans. *Science*, **376**, eabl4896.</w:t>
      </w:r>
    </w:p>
    <w:p>
      <w:pPr>
        <w:spacing w:line="276" w:lineRule="auto" w:after="60"/>
      </w:pPr>
      <w:r>
        <w:rPr>
          <w:rFonts w:ascii="Arial" w:hAnsi="Arial"/>
          <w:color w:val="000000"/>
          <w:sz w:val="20"/>
        </w:rPr>
        <w:t>Cancer Genome Atlas Research Network (2014) Comprehensive molecular profiling of lung adenocarcinoma. *Nature*, **511**, 543–550.</w:t>
      </w:r>
    </w:p>
    <w:p>
      <w:pPr>
        <w:spacing w:line="276" w:lineRule="auto" w:after="60"/>
      </w:pPr>
      <w:r>
        <w:rPr>
          <w:rFonts w:ascii="Arial" w:hAnsi="Arial"/>
          <w:color w:val="000000"/>
          <w:sz w:val="20"/>
        </w:rPr>
        <w:t>Cancer Genome Atlas Network (2012) Comprehensive molecular portraits of human breast tumours. *Nature*, **490**, 61–70.</w:t>
      </w:r>
    </w:p>
    <w:p>
      <w:pPr>
        <w:spacing w:line="276" w:lineRule="auto" w:after="60"/>
      </w:pPr>
      <w:r>
        <w:rPr>
          <w:rFonts w:ascii="Arial" w:hAnsi="Arial"/>
          <w:color w:val="000000"/>
          <w:sz w:val="20"/>
        </w:rPr>
        <w:t>Siletti,K., Hodge,R., Mossi Albiach,A., Lee,K.W., Ding,S.L., Hu,L., Lönnerberg,P., Bakken,T., Casper,T., Clark,M. et al. (2023) Transcriptomic diversity of cell types across the adult human brain. *Science*, **382**, eadl7046.</w:t>
      </w:r>
    </w:p>
    <w:p>
      <w:pPr>
        <w:spacing w:line="276" w:lineRule="auto" w:after="60"/>
      </w:pPr>
      <w:r>
        <w:rPr>
          <w:rFonts w:ascii="Arial" w:hAnsi="Arial"/>
          <w:color w:val="000000"/>
          <w:sz w:val="20"/>
        </w:rPr>
        <w:t>Luecken,M.D. and Theis,F.J. (2019) Current best practices in single-cell RNA-seq analysis: a tutorial. *Mol. Syst. Biol.*, **15**, e8746.</w:t>
      </w:r>
    </w:p>
    <w:p>
      <w:pPr>
        <w:spacing w:line="276" w:lineRule="auto" w:after="60"/>
      </w:pPr>
      <w:r>
        <w:rPr>
          <w:rFonts w:ascii="Arial" w:hAnsi="Arial"/>
          <w:color w:val="000000"/>
          <w:sz w:val="20"/>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60"/>
      </w:pPr>
      <w:r>
        <w:rPr>
          <w:rFonts w:ascii="Arial" w:hAnsi="Arial"/>
          <w:color w:val="000000"/>
          <w:sz w:val="20"/>
        </w:rPr>
        <w:t>Lin,J. (1991) Divergence measures based on the Shannon entropy. *IEEE Trans. Inf. Theory*, **37**, 145–151.</w:t>
      </w:r>
    </w:p>
    <w:p>
      <w:pPr>
        <w:spacing w:line="276" w:lineRule="auto" w:after="60"/>
      </w:pPr>
      <w:r>
        <w:rPr>
          <w:rFonts w:ascii="Arial" w:hAnsi="Arial"/>
          <w:color w:val="000000"/>
          <w:sz w:val="20"/>
        </w:rPr>
        <w:t>Benjamini,Y. and Hochberg,Y. (1995) Controlling the false discovery rate: a practical and powerful approach to multiple testing. *J. R. Stat. Soc. Series B Stat. Methodol.*, **57**, 289–300.</w:t>
      </w:r>
    </w:p>
    <w:p>
      <w:pPr>
        <w:spacing w:line="276" w:lineRule="auto" w:after="60"/>
      </w:pPr>
      <w:r>
        <w:rPr>
          <w:rFonts w:ascii="Arial" w:hAnsi="Arial"/>
          <w:color w:val="000000"/>
          <w:sz w:val="20"/>
        </w:rPr>
        <w:t>Wolf,F.A., Angerer,P. and Theis,F.J. (2018) SCANPY: large-scale single-cell gene expression data analysis. *Genome Biol.*, **19**, 15.</w:t>
      </w:r>
    </w:p>
    <w:p>
      <w:pPr>
        <w:spacing w:line="276" w:lineRule="auto" w:after="60"/>
      </w:pPr>
      <w:r>
        <w:rPr>
          <w:rFonts w:ascii="Arial" w:hAnsi="Arial"/>
          <w:color w:val="000000"/>
          <w:sz w:val="20"/>
        </w:rPr>
        <w:t>Hao,Y., Hao,S., Andersen-Nissen,E., Mauck,W.M. 3rd, Zheng,S., Butler,A., Lee,M.J., Wilk,A.J., Darby,C., Zager,M. et al. (2021) Integrated analysis of multimodal single-cell data. *Cell*, **184**, 3573–3587.</w:t>
      </w:r>
    </w:p>
    <w:p>
      <w:pPr>
        <w:spacing w:line="276" w:lineRule="auto" w:after="60"/>
      </w:pPr>
      <w:r>
        <w:rPr>
          <w:rFonts w:ascii="Arial" w:hAnsi="Arial"/>
          <w:color w:val="000000"/>
          <w:sz w:val="20"/>
        </w:rPr>
        <w:t>Hao,Y., Stuart,T., Kowalski,M.H., Choudhary,S., Hoffman,P., Hartman,A., Srivastava,A., Molla,G., Madad,S., Fernandez-Granda,C. et al. (2024) Dictionary learning for integrative, multimodal and scalable single-cell analysis. *Nat. Biotechnol.*, **42**, 293–304.</w:t>
      </w:r>
    </w:p>
    <w:p>
      <w:pPr>
        <w:spacing w:line="276" w:lineRule="auto" w:after="60"/>
      </w:pPr>
      <w:r>
        <w:rPr>
          <w:rFonts w:ascii="Arial" w:hAnsi="Arial"/>
          <w:color w:val="000000"/>
          <w:sz w:val="20"/>
        </w:rPr>
        <w:t>Weinstein,J.N., Collisson,E.A., Mills,G.B., Shaw,K.R., Ozenberger,B.A., Ellrott,K., Shmulevich,I., Sander,C. and Stuart,J.M. (2013) The Cancer Genome Atlas Pan-Cancer analysis project. *Nat. Genet.*, **45**, 1113–1120.</w:t>
      </w:r>
    </w:p>
    <w:p>
      <w:pPr>
        <w:spacing w:line="276" w:lineRule="auto" w:after="60"/>
      </w:pPr>
      <w:r>
        <w:rPr>
          <w:rFonts w:ascii="Arial" w:hAnsi="Arial"/>
          <w:color w:val="000000"/>
          <w:sz w:val="20"/>
        </w:rPr>
        <w:t>Colaprico,A., Silva,T.C., Olsen,C., Garofano,L., Cava,C., Garolini,D., Sabedot,T.S., Malta,T.M., Pagnotta,S.M., Castiglioni,I. et al. (2016) TCGAbiolinks: an R/Bioconductor package for integrative analysis of TCGA data. *Nucleic Acids Res.*, **44**, e71.</w:t>
      </w:r>
    </w:p>
    <w:p>
      <w:pPr>
        <w:spacing w:line="276" w:lineRule="auto" w:after="60"/>
      </w:pPr>
      <w:r>
        <w:rPr>
          <w:rFonts w:ascii="Arial" w:hAnsi="Arial"/>
          <w:color w:val="000000"/>
          <w:sz w:val="20"/>
        </w:rPr>
        <w:t>Cerami,E., Gao,J., Dogrusoz,U., Gross,B.E., Sumer,S.O., Aksoy,B.A., Jacobsen,A., Byrne,C.J., Heuer,M.L., Larsson,E. et al. (2012) The cBio cancer genomics portal: an open platform for exploring multidimensional cancer genomics data. *Cancer Discov.*, **2**, 401–404.</w:t>
      </w:r>
    </w:p>
    <w:p>
      <w:pPr>
        <w:spacing w:line="276" w:lineRule="auto" w:after="60"/>
      </w:pPr>
      <w:r>
        <w:rPr>
          <w:rFonts w:ascii="Arial" w:hAnsi="Arial"/>
          <w:color w:val="000000"/>
          <w:sz w:val="20"/>
        </w:rPr>
        <w:t>Perou,C.M., Sørlie,T., Eisen,M.B., van de Rijn,M., Jeffrey,S.S., Rees,C.A., Pollack,J.R., Ross,D.T., Johnsen,H., Akslen,L.A. et al. (2000) Molecular portraits of human breast tumours. *Nature*, **406**, 747–752.</w:t>
      </w:r>
    </w:p>
    <w:p>
      <w:pPr>
        <w:spacing w:line="276" w:lineRule="auto" w:after="60"/>
      </w:pPr>
      <w:r>
        <w:rPr>
          <w:rFonts w:ascii="Arial" w:hAnsi="Arial"/>
          <w:color w:val="000000"/>
          <w:sz w:val="20"/>
        </w:rPr>
        <w:t>Parker,J.S., Mullins,M., Cheang,M.C.U., Leung,S., Voduc,D., Vickery,T., Davies,S., Fauron,C., He,X., Hu,Z. et al. (2009) Supervised risk predictor of breast cancer based on intrinsic subtypes. *J. Clin. Oncol.*, **27**, 1160–1167.</w:t>
      </w:r>
    </w:p>
    <w:p>
      <w:pPr>
        <w:spacing w:line="276" w:lineRule="auto" w:after="60"/>
      </w:pPr>
      <w:r>
        <w:rPr>
          <w:rFonts w:ascii="Arial" w:hAnsi="Arial"/>
          <w:color w:val="000000"/>
          <w:sz w:val="20"/>
        </w:rPr>
        <w:t>Edmondson,H.A. and Steiner,P.E. (1954) Primary carcinoma of the liver: a study of 100 cases among 48,900 necropsies. *Cancer*, **7**, 462–503.</w:t>
      </w:r>
    </w:p>
    <w:p>
      <w:pPr>
        <w:spacing w:line="276" w:lineRule="auto" w:after="60"/>
      </w:pPr>
      <w:r>
        <w:rPr>
          <w:rFonts w:ascii="Arial" w:hAnsi="Arial"/>
          <w:color w:val="000000"/>
          <w:sz w:val="20"/>
        </w:rPr>
        <w:t>Waskom,M.L. (2021) seaborn: statistical data visualization. *J. Open Source Softw.*, **6**, 3021.</w:t>
      </w:r>
    </w:p>
    <w:p>
      <w:pPr>
        <w:spacing w:line="276" w:lineRule="auto" w:after="60"/>
      </w:pPr>
      <w:r>
        <w:rPr>
          <w:rFonts w:ascii="Arial" w:hAnsi="Arial"/>
          <w:color w:val="000000"/>
          <w:sz w:val="20"/>
        </w:rPr>
        <w:t>Pedregosa,F., Varoquaux,G., Gramfort,A., Michel,V., Thirion,B., Grisel,O., Blondel,M., Prettenhofer,P., Weiss,R., Dubourg,V. et al. (2011) Scikit-learn: machine learning in Python. *J. Mach. Learn. Res.*, **12**, 2825–2830.</w:t>
      </w:r>
    </w:p>
    <w:p>
      <w:pPr>
        <w:spacing w:line="276" w:lineRule="auto" w:after="60"/>
      </w:pPr>
      <w:r>
        <w:rPr>
          <w:rFonts w:ascii="Arial" w:hAnsi="Arial"/>
          <w:color w:val="000000"/>
          <w:sz w:val="20"/>
        </w:rPr>
        <w:t>Efron,B. and Tibshirani,R.J. (1994) An Introduction to the Bootstrap. Chapman and Hall/CRC, New York.</w:t>
      </w:r>
    </w:p>
    <w:p>
      <w:pPr>
        <w:spacing w:line="276" w:lineRule="auto" w:after="60"/>
      </w:pPr>
      <w:r>
        <w:rPr>
          <w:rFonts w:ascii="Arial" w:hAnsi="Arial"/>
          <w:color w:val="000000"/>
          <w:sz w:val="20"/>
        </w:rPr>
        <w:t>Wälchli,T., Ghobrial,M., Schwab,M.E., Takada,S., Zhong,H., Suntharalingham,S., Vetiska,S., Gonzalez,D.R., Wu,R., Rehrauer,H. et al. (2024) Single-cell atlas of the human brain vasculature across development, adulthood and disease. *Nature*, **632**, 603–613.</w:t>
      </w:r>
    </w:p>
    <w:p>
      <w:pPr>
        <w:spacing w:line="276" w:lineRule="auto" w:after="60"/>
      </w:pPr>
      <w:r>
        <w:rPr>
          <w:rFonts w:ascii="Arial" w:hAnsi="Arial"/>
          <w:color w:val="000000"/>
          <w:sz w:val="20"/>
        </w:rPr>
        <w:t>Schaffenrath,J., Huang,S.F., Wyss,T., Delorenzi,M. and Keller,A. (2024) Characteristics of blood-brain barrier heterogeneity between brain regions. *Nat. Neurosci.*, **27**, 1851–1865.</w:t>
      </w:r>
    </w:p>
    <w:p>
      <w:pPr>
        <w:spacing w:line="276" w:lineRule="auto" w:after="60"/>
      </w:pPr>
      <w:r>
        <w:rPr>
          <w:rFonts w:ascii="Arial" w:hAnsi="Arial"/>
          <w:color w:val="000000"/>
          <w:sz w:val="20"/>
        </w:rPr>
        <w:t>Jones,H.E., Coelho-Santos,V., Bonney,S.K., Abrams,S.R., Shih,A.Y. and Siegenthaler,J.A. (2023) Meningeal origins and dynamics of perivascular fibroblast development. *Development*, **150**, dev201805.</w:t>
      </w:r>
    </w:p>
    <w:p>
      <w:pPr>
        <w:spacing w:line="276" w:lineRule="auto" w:after="60"/>
      </w:pPr>
      <w:r>
        <w:rPr>
          <w:rFonts w:ascii="Arial" w:hAnsi="Arial"/>
          <w:color w:val="000000"/>
          <w:sz w:val="20"/>
        </w:rPr>
        <w:t>Tan,Y.L., Yuan,Y. and Tian,L. (2020) Microglial regional heterogeneity and its role in the brain. *Mol. Psychiatry*, **25**, 351–367.</w:t>
      </w:r>
    </w:p>
    <w:p>
      <w:pPr>
        <w:spacing w:line="276" w:lineRule="auto" w:after="60"/>
      </w:pPr>
      <w:r>
        <w:rPr>
          <w:rFonts w:ascii="Arial" w:hAnsi="Arial"/>
          <w:color w:val="000000"/>
          <w:sz w:val="20"/>
        </w:rPr>
        <w:t>Shemer,A. and Jung,S. (2024) The molecular determinants of microglial developmental colonization. *Nat. Rev. Neurosci.*, **25**, 414–427.</w:t>
      </w:r>
    </w:p>
    <w:p>
      <w:pPr>
        <w:spacing w:line="276" w:lineRule="auto" w:after="60"/>
      </w:pPr>
      <w:r>
        <w:rPr>
          <w:rFonts w:ascii="Arial" w:hAnsi="Arial"/>
          <w:color w:val="000000"/>
          <w:sz w:val="20"/>
        </w:rPr>
        <w:t>Menassa,D.A., Muntslag,T.A.O., Martin-Estebané,M., Barry-Carroll,L., Chapman,M.A., Adorjan,I., Tyler,T., Turnbull,B., Rose-Zerilli,M.J.J., Nicoll,J.A.R. et al. (2022) The spatiotemporal dynamics of microglia across the human lifespan. *Dev. Cell*, **57**, 2127–2139.e6.</w:t>
      </w:r>
    </w:p>
    <w:p>
      <w:pPr>
        <w:spacing w:line="276" w:lineRule="auto" w:after="60"/>
      </w:pPr>
      <w:r>
        <w:rPr>
          <w:rFonts w:ascii="Arial" w:hAnsi="Arial"/>
          <w:color w:val="000000"/>
          <w:sz w:val="20"/>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60"/>
      </w:pPr>
      <w:r>
        <w:rPr>
          <w:rFonts w:ascii="Arial" w:hAnsi="Arial"/>
          <w:color w:val="000000"/>
          <w:sz w:val="20"/>
        </w:rPr>
        <w:t>Tsai,H.H., Niu,J., Munji,R., Davalos,D., Chang,J., Zhang,H., Tien,A.C., Kuo,C.J., Chan,J.R., Daneman,R. et al. (2016) Oligodendrocyte precursors migrate along vasculature in the developing nervous system. *Science*, **351**, 379–384.</w:t>
      </w:r>
    </w:p>
    <w:p>
      <w:pPr>
        <w:spacing w:line="276" w:lineRule="auto" w:after="60"/>
      </w:pPr>
      <w:r>
        <w:rPr>
          <w:rFonts w:ascii="Arial" w:hAnsi="Arial"/>
          <w:color w:val="000000"/>
          <w:sz w:val="20"/>
        </w:rPr>
        <w:t>Akay,L.A., Effenberger,A.H. and Tsai,L.H. (2022) Astrocyte endfoot formation controls the termination of oligodendrocyte precursor cell perivascular migration. *Neuron*, **111**, 190–201.e8.</w:t>
      </w:r>
    </w:p>
    <w:p>
      <w:pPr>
        <w:spacing w:line="276" w:lineRule="auto" w:after="60"/>
      </w:pPr>
      <w:r>
        <w:rPr>
          <w:rFonts w:ascii="Arial" w:hAnsi="Arial"/>
          <w:color w:val="000000"/>
          <w:sz w:val="20"/>
        </w:rPr>
        <w:t>Foerster,S., Floriddia,E.M., Neumann,B., Agirre,E., Castelo-Branco,G. and Franklin,R.J.M. (2024) Developmental origin of oligodendrocytes determines their function in the adult brain. *Nat. Neurosci.*, **27**, 1155–1165.</w:t>
      </w:r>
    </w:p>
    <w:p>
      <w:pPr>
        <w:spacing w:line="276" w:lineRule="auto" w:after="60"/>
      </w:pPr>
      <w:r>
        <w:rPr>
          <w:rFonts w:ascii="Arial" w:hAnsi="Arial"/>
          <w:color w:val="000000"/>
          <w:sz w:val="20"/>
        </w:rPr>
        <w:t>Reeber,S.L., Arancillo,M. and Sillitoe,R.V. (2015) Bergmann glia are patterned into topographic molecular zones in the cerebellum. *Cerebellum*, **14**, 392–403.</w:t>
      </w:r>
    </w:p>
    <w:p>
      <w:pPr>
        <w:spacing w:line="276" w:lineRule="auto" w:after="60"/>
      </w:pPr>
      <w:r>
        <w:rPr>
          <w:rFonts w:ascii="Arial" w:hAnsi="Arial"/>
          <w:color w:val="000000"/>
          <w:sz w:val="20"/>
        </w:rPr>
        <w:t>Yang,L., Zhao,Z., Li,Y., Wang,J., Chen,X. and Liu,Z. (2024) Single-cell multi-omics analysis of lineage development and spatial organization in the human fetal cerebellum. *Cell Discov.*, **10**, 25.</w:t>
      </w:r>
    </w:p>
    <w:p>
      <w:pPr>
        <w:spacing w:line="276" w:lineRule="auto" w:after="60"/>
      </w:pPr>
      <w:r>
        <w:rPr>
          <w:rFonts w:ascii="Arial" w:hAnsi="Arial"/>
          <w:color w:val="000000"/>
          <w:sz w:val="20"/>
        </w:rPr>
        <w:t>Endo,F., Kasai,A., Cui,W., Tanaka,K.F. and Hashimoto,H. (2024) Astrocyte allocation during brain development is controlled by Tcf4-mediated fate restriction. *EMBO J.*, **43**, 4423–4447.</w:t>
      </w:r>
    </w:p>
    <w:p>
      <w:pPr>
        <w:spacing w:line="276" w:lineRule="auto" w:after="60"/>
      </w:pPr>
      <w:r>
        <w:rPr>
          <w:rFonts w:ascii="Arial" w:hAnsi="Arial"/>
          <w:color w:val="000000"/>
          <w:sz w:val="20"/>
        </w:rPr>
        <w:t>Tarashansky,A.J., Musser,J.M., Khariton,M., Li,P., Arendt,D., Quake,S.R. and Wang,B. (2021) Mapping single-cell atlases throughout Metazoa unravels cell type evolution. *eLife*, **10**, e66747.</w:t>
      </w:r>
    </w:p>
    <w:p>
      <w:pPr>
        <w:spacing w:line="276" w:lineRule="auto" w:after="60"/>
      </w:pPr>
      <w:r>
        <w:rPr>
          <w:rFonts w:ascii="Arial" w:hAnsi="Arial"/>
          <w:color w:val="000000"/>
          <w:sz w:val="20"/>
        </w:rPr>
        <w:t>Jiang,J., Li,J., Huang,Y., Wang,Y., Chen,L. and Zhang,X. (2024) CACIMAR: cross-species analysis of cell identities, markers, regulations, and interactions. *Brief. Bioinform.*, **25**, bbae283.</w:t>
      </w:r>
    </w:p>
    <w:p>
      <w:pPr>
        <w:spacing w:line="276" w:lineRule="auto" w:after="60"/>
      </w:pPr>
      <w:r>
        <w:rPr>
          <w:rFonts w:ascii="Arial" w:hAnsi="Arial"/>
          <w:color w:val="000000"/>
          <w:sz w:val="20"/>
        </w:rPr>
        <w:t>Bakken,T.E., Jorstad,N.L., Hu,Q., Lake,B.B., Tian,W., Kalmbach,B.E., Crow,M., Hodge,R.D., Krienen,F.M., Sorensen,S.A. et al. (2021) Comparative cellular analysis of motor cortex in human, marmoset and mouse. *Nature*, **598**, 111–119.</w:t>
      </w:r>
    </w:p>
    <w:p>
      <w:pPr>
        <w:spacing w:line="276" w:lineRule="auto" w:after="60"/>
      </w:pPr>
      <w:r>
        <w:rPr>
          <w:rFonts w:ascii="Arial" w:hAnsi="Arial"/>
          <w:color w:val="000000"/>
          <w:sz w:val="20"/>
        </w:rPr>
        <w:t>Butte,A.J., Dzau,V.J. and Glueck,S.B. (2001) Further defining housekeeping, or maintenance, genes: focus on A compendium of gene expression in normal human tissues. *Physiol. Genomics*, **7**, 95-96.</w:t>
      </w:r>
    </w:p>
    <w:p>
      <w:pPr>
        <w:spacing w:line="276" w:lineRule="auto" w:after="60"/>
      </w:pPr>
      <w:r>
        <w:rPr>
          <w:rFonts w:ascii="Arial" w:hAnsi="Arial"/>
          <w:color w:val="000000"/>
          <w:sz w:val="20"/>
        </w:rPr>
        <w:t>CZI Cell Science Program (2025) CZ CELLxGENE Discover: a single-cell data platform for scalable exploration, analysis and modeling of aggregated data. *Nucleic Acids Res.*, **53**, D886–D900.</w:t>
      </w:r>
    </w:p>
    <w:p>
      <w:pPr>
        <w:spacing w:line="276" w:lineRule="auto" w:after="60"/>
      </w:pPr>
      <w:r>
        <w:rPr>
          <w:rFonts w:ascii="Arial" w:hAnsi="Arial"/>
          <w:color w:val="000000"/>
          <w:sz w:val="20"/>
        </w:rPr>
        <w:t>Liberzon,A., Birger,C., Thorvaldsdóttir,H., Ghandi,M., Mesirov,J.P. and Tamayo,P. (2015) The Molecular Signatures Database Hallmark Gene Set Collection. *Cell Syst.*, **1**, 417–425.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