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Cell-state Kinetic Index for Quantifying Baseline-Normalized Transcriptomic Remodeling</w:t>
      </w:r>
    </w:p>
    <w:p>
      <w:r>
        <w:rPr>
          <w:rFonts w:ascii="Arial" w:hAnsi="Arial"/>
          <w:b w:val="0"/>
          <w:color w:val="000000"/>
          <w:sz w:val="22"/>
        </w:rPr>
        <w:t>Li Zhang</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Table 1: Parameter Sweep Results (Phase 3.2)</w:t>
      </w:r>
    </w:p>
    <w:p>
      <w:r>
        <w:rPr>
          <w:rFonts w:ascii="Arial" w:hAnsi="Arial"/>
          <w:b w:val="0"/>
          <w:color w:val="000000"/>
          <w:sz w:val="22"/>
        </w:rPr>
        <w:t>Supplementary Table 2: Cross-Organ Conservation Data (Phase 3.5)</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Cell Migration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omega: when both k_n and k_f approach 1, omega = k_f/k_n may still vary, and a small floor value (1e-4) is applied to k_n to prevent inflated omega from near-zero denominators. Before computing JS divergence, both pseudobulk vectors are normalized to probability distributions via softmax normalization (p_i = exp(x_i)/Σexp(x_j)).</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softmax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omega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w:t>
      </w:r>
    </w:p>
    <w:p>
      <w:r>
        <w:rPr>
          <w:rFonts w:ascii="Arial" w:hAnsi="Arial"/>
          <w:b/>
          <w:color w:val="000000"/>
          <w:sz w:val="22"/>
        </w:rPr>
        <w:t>1.4 Omega Ratio and Its Interpretation</w:t>
      </w:r>
    </w:p>
    <w:p>
      <w:r>
        <w:rPr>
          <w:rFonts w:ascii="Arial" w:hAnsi="Arial"/>
          <w:b w:val="0"/>
          <w:color w:val="000000"/>
          <w:sz w:val="22"/>
        </w:rPr>
        <w:t>omega = k_f/k_n. Interpretation follows a Ka/Ks analogy: omega ~ 1: the observed transcriptomic difference is consistent with baseline expectation, with no evidence of functional reprogramming; omega &gt;&gt; 1: functional divergence exceeds baseline drift, indicating evidence of functional transcriptional reprogramming beyond baseline; omega &lt;&lt; 1: functional constraint, the two groups are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bootstrap inference.</w:t>
      </w:r>
    </w:p>
    <w:p>
      <w:r>
        <w:rPr>
          <w:rFonts w:ascii="Arial" w:hAnsi="Arial"/>
          <w:b/>
          <w:color w:val="000000"/>
          <w:sz w:val="22"/>
        </w:rPr>
        <w:t>1.5 Bootstrap Permutation Test</w:t>
      </w:r>
    </w:p>
    <w:p>
      <w:r>
        <w:rPr>
          <w:rFonts w:ascii="Arial" w:hAnsi="Arial"/>
          <w:b w:val="0"/>
          <w:color w:val="000000"/>
          <w:sz w:val="22"/>
        </w:rPr>
        <w:t>Statistical inference is performed by generating a null distribution of omega under the null hypothesis that the two cell populations are drawn from the same distribution. Procedure: (1) Annotate all cells in the pooled dataset with their original group labels (A or B); (2) Randomly permute labels B times (default B=1,000 for all datasets (mouse, human, TCGA, and brain atlas), recomputing pseudobulk vectors and omega_null each time;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omega itself. Bootstrap permutation testing was performed for all four datasets: mouse pilot (15 cell-type pairs, B=1,000), human Tabula Sapiens (B=1,000), TCGA (B=1,000), and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omega,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JS_divergence(softmax(mu_A_H), softmax(mu_B_H))</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JS_divergence(softmax(mu_A_I), softmax(mu_B_I))</w:t>
      </w:r>
    </w:p>
    <w:p>
      <w:pPr>
        <w:spacing w:after="20" w:before="0"/>
      </w:pPr>
      <w:r>
        <w:rPr>
          <w:rFonts w:ascii="Arial" w:hAnsi="Arial"/>
          <w:b w:val="0"/>
          <w:color w:val="000000"/>
          <w:sz w:val="22"/>
        </w:rPr>
        <w:t xml:space="preserve"> 7. if k_n &lt; 1e-4: k_n &lt;- 1e-4  // floor to prevent inflated omega</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w:t>
      </w:r>
    </w:p>
    <w:p>
      <w:pPr>
        <w:spacing w:after="20" w:before="0"/>
      </w:pPr>
      <w:r>
        <w:rPr>
          <w:rFonts w:ascii="Arial" w:hAnsi="Arial"/>
          <w:b w:val="0"/>
          <w:color w:val="000000"/>
          <w:sz w:val="22"/>
        </w:rPr>
        <w:t>14.     mu_perm2 &lt;- mean(pooled[labels_perm[n_A:]], axis=0)</w:t>
      </w:r>
    </w:p>
    <w:p>
      <w:pPr>
        <w:spacing w:after="20" w:before="0"/>
      </w:pPr>
      <w:r>
        <w:rPr>
          <w:rFonts w:ascii="Arial" w:hAnsi="Arial"/>
          <w:b w:val="0"/>
          <w:color w:val="000000"/>
          <w:sz w:val="22"/>
        </w:rPr>
        <w:t>15.     omega_null[b] &lt;- CKI_core(mu_perm1, mu_perm2, H, I)</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JS(softmax(mu_A[I]), softmax(mu_B[I]))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Bootstrap permutation test (B=1,000) for CKI omega significance inference; ROC-AUC for cell type classification performance assessment.</w:t>
      </w:r>
    </w:p>
    <w:p>
      <w:r>
        <w:rPr>
          <w:rFonts w:ascii="Arial" w:hAnsi="Arial"/>
          <w:b/>
          <w:color w:val="000000"/>
          <w:sz w:val="22"/>
        </w:rPr>
        <w:t>3.2 Bootstrap Details</w:t>
      </w:r>
    </w:p>
    <w:p>
      <w:r>
        <w:rPr>
          <w:rFonts w:ascii="Arial" w:hAnsi="Arial"/>
          <w:b w:val="0"/>
          <w:color w:val="000000"/>
          <w:sz w:val="22"/>
        </w:rPr>
        <w:t>Bootstrap iterations: B=1,000 for all datasets (mouse pilot study with 15 cell-type pairs, human Tabula Sapiens via script 08b, TCGA via script 08a, and brain atlas via scripts 08d-08e, which implement the block-shuffle null). Bootstrap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 In all CKI results, standardized effect sizes are typically &gt; 1.0 for biologically meaningful comparisons, indicating large effects relative to the null distribution.</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median was computed; the 2.5th and 97.5th percentiles of the resulting distribution define the 95% CI. Confidence interval widths scale inversely with the number of contributing pairs: well-sampled cell types (e.g., astrocytes, 5,778 pairs) yield narrow intervals ([69.41, 71.93], median 70.59), whereas cell types with fewer comparisons (e.g., Bergmann glia, 21 pairs) produce wider intervals ([9.42, 10.89], median 10.01).</w:t>
      </w:r>
    </w:p>
    <w:p>
      <w:r>
        <w:rPr>
          <w:rFonts w:ascii="Arial" w:hAnsi="Arial"/>
          <w:b/>
          <w:color w:val="000000"/>
          <w:sz w:val="22"/>
        </w:rPr>
        <w:t>3.3 Multiple Testing Correction</w:t>
      </w:r>
    </w:p>
    <w:p>
      <w:r>
        <w:rPr>
          <w:rFonts w:ascii="Arial" w:hAnsi="Arial"/>
          <w:b w:val="0"/>
          <w:color w:val="000000"/>
          <w:sz w:val="22"/>
        </w:rPr>
        <w:t>Bootstrap 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bootstrap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migration-candidate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Of the 55 Strong-tier candidates (residual &lt; 0.3), 37 showed raw P &lt; 0.05, but after Benjamini-Hochberg correction across all m = 31,764 pairs, none reached q &lt; 0.05 (minimum q = 0.949). Globally, 938 of 31,764 pairs showed raw P &lt; 0.05, fewer than the ~1,588 (5%) expected under a global null, indicating no aggregate excess of small P-values in the per-pair screen. This null FDR outcome is structural rather than purely empirical: with m = 31,764 tests, the BH threshold for the smallest ordered P-value (0.05/31,764 ≈ 1.6 × 10⁻⁶) lies roughly 600-fold below the smallest resolvable permutation P (9.99 × 10⁻⁴ at B = 1,000), so q &lt; 0.05 could not be reached at any effect size without B ≈ 6 × 10⁵ permutations.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Figure S8: ω distribution characterization; Supplementary Figure S9: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non-bootstrap tests are two-sided; bootstrap permutation P-values are one-sided (see SN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omega = 1 (k_f = k_n) is never observed in practice because identity-gene selection (per-pair top-200 DE genes or HVGs) systematically inflates k_f relative to k_n. Empirical calibration on split-half equivalent populations (mouse, n = 6) yielded a mean omega = 6.67 (95% bootstrap CI [4.24, 9.24], B = 10,000 resamples of the control omega values). We introduce calibrated omega: omega_cal = omega_obs / 6.67, which rescales all values so that equivalent populations yield omega_cal ~ 1.0. Under this calibration: mouse controls yield omega_cal = 1.00, the brain global mean becomes omega_cal = 4.88 (raw 32.56), and the most divergent brain cell type (astrocytes) yields omega_cal = 11.52 (raw 76.83). All ten non-neuronal brain classes have omega_cal &gt; 1 (the most conserved, bergmann glia at 1.67, raw 11.17), indicating that even the most regionally constrained class diverges beyond the empirical split-half baseline. The calibrate_omega() function is available in the CKI package (cki.calibrate_omega). Both raw and calibrated omega values are reported in all key results. (Supplementary Figure S12.)</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(omega = 6.67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omega (omega_cal = omega / 6.67) absorbs this bias into the empirical baseline, and the permutation null distribution - constructed using the same gene sets as the observed data - ensures internal consistency. (Supplementary Figure S10.)</w:t>
      </w:r>
    </w:p>
    <w:p>
      <w:r>
        <w:rPr>
          <w:rFonts w:ascii="Arial" w:hAnsi="Arial"/>
          <w:b/>
          <w:color w:val="000000"/>
          <w:sz w:val="22"/>
        </w:rPr>
        <w:t>3.7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92.89% (mean = 0.0027, median = 0.0017), with per-cell-type CVs ranging from 36.5% (committed oligodendrocyte precursors) to 69.8% (oligodendrocytes). As a sensitivity analysis, we contrasted this per-pair k_n estimator with a global-k_n variant (k_n computed once from the full gene-by-cell-type pseudobulk matrix): the Spearman correlation between the resulting omega rankings was only ρ = 0.181 (P = 9.38e-232), so the global-k_n simplification would preserve only ~3% of the variance in omega orderings (ρ² ≈ 0.03). This justifies the per-pair k_n approach used throughout and highlights that fine-grained omega orderings should be interpreted with the estimator choice in mind. (Supplementary Figure S11.)</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omega)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omega estimates unreliable. We recommend interpreting rankings of cell types with n &lt; 5 as suggestive only. Bootstrap 95% confidence intervals for cell types with n &gt;= 5 are provided in Supplementary Table S2. The Spearman correlations between CKI omega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bootstrap P-values use a one-sided test: P = (count(omega_null &gt;= omega_obs) + 1)/(B + 1). The one-sided formulation is appropriate because our hypothesis is directional: we test whether observed omega exceeds the null expectation (equivalent populations), not whether it differs in either direction. A two-sided test would be appropriate if we were testing for any departure from the null (either elevated or suppressed omega). However, the biological questions addressed here (functional divergence exceeding baseline, Strong migration candidates showing anomalously low omega) are inherently directional.</w:t>
      </w:r>
    </w:p>
    <w:p>
      <w:r>
        <w:rPr>
          <w:rFonts w:ascii="Arial" w:hAnsi="Arial"/>
          <w:b/>
          <w:color w:val="000000"/>
          <w:sz w:val="22"/>
        </w:rPr>
        <w:t>3.11 Parameter Justification</w:t>
      </w:r>
    </w:p>
    <w:p>
      <w:r>
        <w:rPr>
          <w:rFonts w:ascii="Arial" w:hAnsi="Arial"/>
          <w:b w:val="0"/>
          <w:color w:val="000000"/>
          <w:sz w:val="22"/>
        </w:rPr>
        <w:t>Key CKI parameters and their rationale: (1) Softmax normalization: converts expression vectors to probability distributions for JS divergence computation; the softmax function is a standard choice that preserves relative magnitude information while ensuring non-negativity and sum-to-one. (2) Pseudocount epsilon = 1e-9: added to avoid log(0) in JS divergence; the value is small enough to not affect results materially but large enough to prevent numerical instability. (3) Top-200 DE genes for k_f (mouse): selected per pair to adaptively capture the most informative identity genes; the parameter sweep (Phase 3.2) tested N_HVG in {500, 1000, 2000, 3000, 5000} and found 2000 optimal for AUC. (4) HVG count of 2,000 (human/brain): standard Scanpy default; Seurat flavor used for consistency with the Scanpy ecosystem. (5) Log-base 2 for JS divergence: standard choice giving JS range [0, 1]; the base does not affect omega = k_f/k_n since it cancels in the ratio. (6) B = 1,000 for bootstrap: justified by adaptive permutation analysis showing minimum P = 9.99 × 10⁻⁴ (= 1/(B+1) = 1/1001) is well below BH thresholds for cell-type-level tests (Phase B).</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32 cell type entries with &gt;= 10 cells per group were retained for pseudobulk construction, spanning 6 organs (Liver, Kidney, Spleen, Lung, Heart, Bone Marrow).</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omega analysis were required to have &gt;=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parameter sweep (Phase 3.2) tested N_HVG in {50, 100, 200, 500, 1,000, 2,000}. The global scheme (mouse) achieved peak AUC at N=2,000, while the pairwise scheme (human) used N=200 to maintain discriminative power with computational efficiency.</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omega,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(omega mean, median, SD, range, k_n and k_f components) are provided in Supplementary Table 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notebooks/30_nar_figures_fixed_v2.py (Figure 6).</w:t>
      </w:r>
    </w:p>
    <w:p>
      <w:r>
        <w:rPr>
          <w:rFonts w:ascii="Arial" w:hAnsi="Arial"/>
          <w:b w:val="0"/>
          <w:color w:val="000000"/>
          <w:sz w:val="22"/>
        </w:rPr>
      </w:r>
    </w:p>
    <w:p>
      <w:pPr>
        <w:pStyle w:val="Heading2"/>
      </w:pPr>
      <w:r>
        <w:t>Supplementary Table 4: Inter-regional Cell Migration Candidate Data</w:t>
      </w:r>
    </w:p>
    <w:p>
      <w:r>
        <w:rPr>
          <w:rFonts w:ascii="Arial" w:hAnsi="Arial"/>
          <w:b w:val="0"/>
          <w:color w:val="000000"/>
          <w:sz w:val="22"/>
        </w:rPr>
        <w:t>Results of multiplicative model-based detection of candidate inter-regional cell migration signals (block-shuffle re-analysis pipeline). Of the 31,764 total pairwise cross-region comparisons, 8,324 pairs (26.2%) were classified as threshold-passing candidates (residual &lt; 0.75): 55 strong signals (residual &lt; 0.3, 0.17%), 2,120 moderate signals (residual &lt; 0.5, 6.67%), and 6,149 weak signals (residual &lt; 0.75, 19.36%). Under the block-shuffle permutation null (B = 1,000), 37 of the 55 Strong candidates showed raw one-sided P &lt; 0.05, but none survived Benjamini-Hochberg correction across all 31,764 pairs (minimum q = 0.949); the candidate list is therefore hypothesis-generating only. Top-5 strongest signals by cell type (ranked by residual): 1) Oligodendrocyte A40 vs. SEP (omega = 12.34, residual = 0.197), 2) Committed oligodendrocyte precursor PnRF vs. SN-RN (omega = 11.17, residual = 0.206), 3) Astrocyte A19 vs. AON (omega = 14.79, residual = 0.214), 4) Committed oligodendrocyte precursor SI vs. SN-RN (omega = 9.39, residual = 0.220), 5) Oligodendrocyte precursor SI vs. TF (omega = 8.87, residual = 0.222). Complete candidate dataset: results/brain_bs_null_observed_pairs.csv (8,324 threshold-passing rows of 31,764 total).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migration candidate detection), and notebooks/30_nar_figures_fixed_v2.py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