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A Cell-state Kinetic Index for Quantifying Baseline-Normalized Transcriptomic Remodeling</w:t>
      </w:r>
    </w:p>
    <w:p>
      <w:pPr>
        <w:jc w:val="center"/>
      </w:pPr>
      <w:r>
        <w:rPr>
          <w:rFonts w:ascii="Arial" w:hAnsi="Arial"/>
          <w:color w:val="000000"/>
          <w:sz w:val="20"/>
        </w:rPr>
        <w:t>Running title: CKI: Baseline-Normalized Divergence Index</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Comparing cell populations is fundamental in single-cell genomics, yet standard distance metrics conflate baseline variation with functional adaptation. Inspired by the Ka/Ks ratio, we present CKI (Cell-state Kinetic Index), which decomposes transcriptomic divergence into a baseline rate k_n (housekeeping genes) and a functional rate k_f (identity genes), with ω = k_f/k_n quantifying baseline-normalized functional divergence. We validated CKI across four datasets: the Tabula Muris mouse atlas, Tabula Sapiens human atlas, TCGA pan-cancer data, and a human brain single-nucleus atlas (888,263 non-neuronal nuclei profiled; 886,808 analyzed after filtering). Calibration established an empirical baseline for equivalent populations (mean ω = 6.67, 95% CI [4.24, 9.24]), inflated by identity-gene selection. CKI ω was negatively correlated with all standard distance metrics (Spearman r = −0.36 to −0.46, all P &lt; 0.001); decomposition showed this partly reflects the k_n denominator rather than an independent signal dimension. Cancer analysis suggested potential transcriptional convergence across genetically diverse tumors (exploratory). Brain analysis revealed a 6.88-fold regional differentiation gradient across 10 non-neuronal cell classes (4.07-fold within donors); under a strict block-shuffle null, no candidate survived false-discovery-rate correction, positioning brain candidates as hypothesis-generating. CKI provides a framework for quantifying functional divergence against an internal baseline, available as an open-source Python package.</w:t>
      </w:r>
    </w:p>
    <w:p>
      <w:pPr>
        <w:jc w:val="center"/>
      </w:pPr>
      <w:r>
        <w:rPr>
          <w:rFonts w:ascii="Arial" w:hAnsi="Arial"/>
          <w:color w:val="000000"/>
          <w:sz w:val="20"/>
        </w:rPr>
        <w:t>Keywords: cell-state divergence, housekeeping genes, Jensen-Shannon decomposition, transcriptomic remodeling, single-cell genomics</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8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 where donor-level and batch-level variation often dominates over cell-type identity. Methods such as Harmony (2), scVI (3), and SATURN (4) have been developed specifically to remove such nuisance variation (5). However, after correction, a key question remains: how much of the remaining difference between two populations represents functional adaptation, and how much is simply neutral drift?</w:t>
      </w:r>
    </w:p>
    <w:p>
      <w:pPr>
        <w:spacing w:line="276" w:lineRule="auto" w:after="8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(6, 7).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80"/>
        <w:ind w:firstLine="0"/>
      </w:pPr>
      <w:r>
        <w:rPr>
          <w:rFonts w:ascii="Arial" w:hAnsi="Arial"/>
          <w:b w:val="0"/>
          <w:i w:val="0"/>
          <w:color w:val="000000"/>
          <w:sz w:val="22"/>
        </w:rPr>
        <w:t>We validated CKI across four scales, each testing a different aspect of the method. First, we calibrated CKI on Tabula Muris mouse data (8), confirming that random splits of the same cell population yield ω above 1 (empirical calibration baseline 6.67, 95% bootstrap CI [4.24, 9.24]). Second, we extended CKI to Tabula Sapiens human data (9) and found that CKI ω is negatively correlated with all four standard distance metrics; a decomposition analysis showed that this negative association is partly driven by the k_n denominator (k_n is itself strongly positively correlated with the standard metrics), so ω should be understood as a composite of numerator and denominator information rather than a fully independent measurement dimension (see Results). Third, we applied CKI to TCGA cancer data (10,11), revealing that tumors appear more transcriptionally homogeneous than adjacent non-tumor tissues at bulk resolution (an exploratory observation; see Results for caveats). Fourth, we used CKI to analyze a human brain single-nucleus atlas (12), measuring how the same non-neuronal cell classes differ across brain regions. The analysis revealed a significant 6.88-fold regional differentiation gradient and a screen of anomalously similar cell-type/region-pair candidates; because no candidate survived false-discovery-rate correction under a strict block-shuffle null that preserves the cell-type-by-region design, we present the brain candidates as hypothesis-generating signals for future lineage-tracing validation rather than confirmed discoveries.</w:t>
      </w:r>
    </w:p>
    <w:p>
      <w:pPr>
        <w:pStyle w:val="Heading1"/>
        <w:spacing w:before="420" w:after="160"/>
      </w:pPr>
      <w:r>
        <w:rPr>
          <w:rFonts w:ascii="Arial" w:hAnsi="Arial"/>
          <w:color w:val="000000"/>
          <w:sz w:val="28"/>
          <w:b/>
        </w:rPr>
        <w:t>Materials and 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(13). Pseudobulk vectors are computed by averaging expression across cells sharing the same cell-type annotation, requiring at least 10 cells per group. Housekeeping (HK) genes are loaded from the HRT Atlas v1.0 reference (14)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Note that when applied to log1p-transformed counts, softmax(log1p(x)) is mathematically equivalent to L1 normalization with a pseudocount of 1 (p_i = (x_i + 1)/Σ(x_j + 1)); we retain the softmax formulation as implemented in the released package. Then k_n = JS(norm(ε_A[H]), norm(ε_B[H])), where H is the set of HK gene indices. k_f = JS(norm(ε_A[I]), norm(ε_B[I])), where I is the set of top-2,000 highly variable genes (HVGs; Seurat flavor) excluding HK genes. ω = k_f/k_n. JS divergence (15) uses the base-2 logarithm (range [0, 1]). To guard against division by near-zero k_n, the CKI package exposes an optional lower-bound parameter on the denominator (kn_floor); the package default (kn_floor = 0) applies only a positivity guard, which is the behavior used by all single-cell analyses reported in this paper (mouse, Tabula Sapiens, brain), so no reported single-cell ω was capped (minimum observed per-pair k_n: 1.1 × 10⁻⁴, mouse; 6.3 × 10⁻⁴, human; 7.7 × 10⁻⁵, brain). The TCGA bulk RNA-seq analysis is the sole exception and applies kn_floor = 1 × 10⁻⁴, because pseudobulk averaging across millions of cells compresses HK gene variance and drives aggregate k_n toward zero (see Results).</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Bootstrap permutation test</w:t>
      </w:r>
    </w:p>
    <w:p>
      <w:pPr>
        <w:spacing w:line="276" w:lineRule="auto" w:after="8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reported as a descriptive measure of separation magnitude. Given the non-normal ω distribution, SES is interpreted as a non-parametric descriptive statistic complementing the permutation P-value, not as a parametric test statistic such as Cohen’s d. Benjamini-Hochberg false discovery rate (FDR) correction (16)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Tabula Muris FACS SmartSeq2 (8): 15,057 cells, 22,308 genes, 6 organs (liver, kidney, spleen, lung, heart, bone marrow). Post-QC: 32 cell-type entries (each with at least 10 cells). Highly variable genes selected using scanpy (17) with flavor="seurat" (18,19) and n_top_genes=2,000.</w:t>
      </w:r>
    </w:p>
    <w:p>
      <w:pPr>
        <w:spacing w:line="276" w:lineRule="auto" w:after="80"/>
        <w:ind w:firstLine="0"/>
      </w:pPr>
      <w:r>
        <w:rPr>
          <w:rFonts w:ascii="Arial" w:hAnsi="Arial"/>
          <w:b w:val="0"/>
          <w:i w:val="0"/>
          <w:color w:val="000000"/>
          <w:sz w:val="22"/>
        </w:rPr>
        <w:t>Tabula Sapiens v1.0 (9):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TCGA bulk RNA-seq (20): five cancer types from NCI Genomic Data Commons, accessed via TCGAbiolinks (21) and cBioPortal (22) APIs. LUAD: 495 tumor + 76 normal; LUSC: 567 tumor + 58 normal; LIHC: 365 tumor + 57 normal; KIRC: 755 tumor + 82 normal; BRCA: 1032 tumor + 109 normal. TPM values from UCSC Xena, log2(TPM + 1) transformed. PAM50 classification (23,24): nearest centroid (Pearson correlation), 44 of 47 PAM50 genes matched. LIHC Edmondson grade (25):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(12): Siletti et al. (2023) single-nucleus RNA-seq (v3.11) from CZ CELLxGENE Discover (collection ID: 283d65eb-2f53-46e9-a951-0da342e3d1f2). We used the Nonneurons.h5ad dataset (888,263 nuclei, 59,480 genes, 108 brain regions). Cell types were classified by supercluster_term annotation, generating 10 major non-neuronal classes: astrocytes (155,025 nuclei), oligodendrocytes (490,246), oligodendrocyte precursors (105,723), committed oligodendrocyte precursors (4,118), microglia (91,826), vascular cells (9,586), fibroblasts (8,897), ependymal cells (5,779), choroid plexus (7,643), and Bergmann glia (7,965); after filtering, 886,808 nuclei contributed to the analysis. We required &gt;= 20 nuclei per (region, cell_type) group and &gt;= 50 nuclei per region. Pseudobulk vectors were computed as cell-count-weighted means of per-library (10x sample) mean expression vectors per (region, cell_type)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For computational efficiency, the per-pair identity-gene selection was restricted to a pre-filtered pool of the 5,000 non-HK genes with the highest mean expression; within this pool,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cells passing QC); consequently, the method comparison does not capture inter-donor variability, and single-donor pseudobulks limit assessment of between-individual variation.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over all 31,764 pairs (32.56).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was randomly permuted across libraries (preserving the observed per-region library-count structure), after which region pseudobulks, all 31,764 pair ω values, and multiplicative residuals were recomputed. Because each library's cells and cell-type composition move together, this null retains library-level structure and per-region block sizes while breaking the association between cells and region identity; it is therefore markedly more conservative than per-cell label shuffling, which ignores the block structure of the experiment. B = 1,000 permutations were run (minimum resolvable P = 1/1,001 ≈ 9.99 × 10⁻⁴). Per-pair empirical P-values were computed with the one-sided lower-tail formula P = (count(ω_null ≤ ω_obs) + 1)/(B + 1), the appropriate direction because migration candidates are defined by anomalously low ω. Benjamini-Hochberg FDR correction was applied across all m = 31,764 pairs. No pair reached q &lt; 0.05 (minimum q = 0.949); at this multiplicity q &lt; 0.05 is unattainable at B = 1,000 regardless of the data (see Statistical reporting), so this outcome reflects permutation resolution rather than evidence against the candidates; consequently, no individual candidate is claimed as a statistically confirmed discovery. The 37 Strong-tier pairs with raw P &lt; 0.05 are reported as hypothesis-generating signals, prioritized for future lineage-tracing validation. Per-signal tests are not independent (the same cell type or region pair appears in multiple comparisons); interpretation is therefore restricted to the predefined Strong tier rather than the full 31,764 search space. In addition, a cell-type-level test asked whether regional structure significantly raises a cell type's mean ω relative to the block-shuffle null (one-sided upper-tail P across the same B = 1,000 permutations).</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for each cell type, every pair of regions with at least 20 nuclei from the same donor contributed one comparison, and class means were aggregated over all such within-donor pairs (astrocytes: 11,139 pairs from 261 donor-region blocks; Bergmann glia: 10 pairs). k_n estimator sensitivity (brain). For all 31,764 pairs we re-derived per-pair k_f and k_n under the pipeline above and compared four aggregation schemes: per-pair k_n (the reported estimator), an aggregate-first estimator in which k_n is computed once per cell type from class-level region pseudobulks before pairing with mean per-pair k_f, a global-k_n variant in which a single grand-mean k_n is shared by all classes, and k_f-only and k_n-only orderings; agreement was summarized as Spearman rank correlation of the ten class means, together with the astrocyte-to-Bergmann-glia ratio under each scheme. Scheme-matched split-half calibration. To test whether the mouse-derived calibration factor transfers, we repeated the random-split-of-the-same-population calibration inside each of the two large single-cell datasets, using exactly the gene-selection and pseudobulk pipeline of the corresponding analysis. Brain: for each cell class, the three regions with at least 200 nuclei were split into random halves (B = 50 splits per population; 29 populations), and the split-half ω was computed with the hybrid scheme; population-level and overall 95% bootstrap CIs were obtained by resampling the 29 population means. Tabula Sapiens: for each (organ, cell type) group from the largest donor with at least 100 cells passing QC (71 populations across six organs), cells were randomly split into halves (B = 50) and ω was computed with the phase-3.5 pipeline (common genes, QC, normalize-total 10,000, log1p); population-level bootstrap CIs were obtained by resampling population means. Lineage enrichment and tier sensitivity (brain). Enrichment of oligodendrocyte-lineage classes among Strong candidates was tested with a hypergeometric test over the 31,764 pairs (12,775 belonging to the lineage), corroborated by permutation (B = 100,000 random reassignments of the lineage label across pairs). Tier-threshold sensitivity was assessed by recomputing the Strong set and the lineage enrichment over a grid of residual caps (0.2–0.4) and ω caps (12–25).</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(per-pair k_n on the shared HK gene set, per-pair k_f from top-200 DE genes). BRCA PAM50 subtypes were classified using nearest centroid (Pearson correlation) against the published PAM50 centroids (23,24); 44 of 47 PAM50 genes matched to TCGA gene symbols. LIHC Edmondson histological grades (25)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Typical runtime for a single cell-type pair analysis is under 5 minutes on a standard laptop (Apple M2, 16 GB RAM); the full brain analysis (31,764 pairs) required approximately 72 core-hours on a 32-core workstation. All analyses were performed in Python 3.14.4 with scanpy 1.12.1 (17), scipy &gt;= 1.10.0, numpy &gt;= 1.23.0, pandas &gt;= 1.5.0, matplotlib &gt;= 3.6.0, seaborn (26) &gt;= 0.12.0, and scikit-learn (27) &gt;= 1.2.0. All random seeds were fixed at 42 for reproducibility. Bootstrap permutation results are stable with respect to the random seed choice: with B = 1,000 permutations, the Monte Carlo standard error of the empirical P-value is approximately 0.016 at P = 0.5 and 0.001 at P = 0.001, meaning seed variation has negligible impact on statistical conclusions.</w:t>
      </w:r>
    </w:p>
    <w:p>
      <w:pPr>
        <w:pStyle w:val="Heading2"/>
        <w:spacing w:before="420" w:after="160"/>
      </w:pPr>
      <w:r>
        <w:rPr>
          <w:rFonts w:ascii="Arial" w:hAnsi="Arial"/>
          <w:color w:val="000000"/>
          <w:sz w:val="24"/>
          <w:b/>
        </w:rPr>
        <w:t>Statistical reporting</w:t>
      </w:r>
    </w:p>
    <w:p>
      <w:pPr>
        <w:spacing w:line="276" w:lineRule="auto" w:after="80"/>
        <w:ind w:firstLine="0"/>
      </w:pPr>
      <w:r>
        <w:rPr>
          <w:rFonts w:ascii="Arial" w:hAnsi="Arial"/>
          <w:b w:val="0"/>
          <w:i w:val="0"/>
          <w:color w:val="000000"/>
          <w:sz w:val="22"/>
        </w:rPr>
        <w:t>We report summary statistics as mean ± s.d. (range) or median [IQR] as noted. Box plots display median, IQR, and 1.5× IQR whiskers. Bootstrap permutation testing (28)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(16) is applied within each dataset, with the number of tests defined at the level at which each analysis is performed; two levels must be distinguished. First, group-level tests, in which each test corresponds to one cell class, cell type, or cancer type: the brain cell-class test (m = 10 non-neuronal classes), the human per-cell-type bootstrap (m = 17 cell types with at least one cross-organ comparison), the mouse pilot (m = 15), and the TCGA per-cancer analysis (m = 5). The corresponding BH thresholds for the most significant test (0.05/m) are 5.0 × 10⁻³ (brain), 2.9 × 10⁻³ (human), 3.3 × 10⁻³ (mouse), and 1.0 × 10⁻² (TCGA), all above the minimum resolvable permutation P-value of 9.99 × 10⁻⁴ at B = 1,000, so B = 1,000 provides sufficient resolution for every group-level test. Second, the brain per-pair screen, in which BH correction is applied across all m = 31,764 region pairs. At this multiplicity the BH threshold for the smallest ordered P-value is 0.05/31,764 ≈ 1.6 × 10⁻⁶, roughly 600-fold below the smallest resolvable P at B = 1,000; q &lt; 0.05 is therefore mathematically unattainable at this combination of m and B (resolving it would require B ≈ 6 × 10⁵ permutations). The per-pair FDR outcome (minimum q = 0.949) is consequently a statement about permutation resolution rather than evidence against any candidate, and we therefore report it together with the raw permutation P-value distribution (938 of 31,764 pairs at raw P &lt; 0.05, fewer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2.10; mouse pilot, n = 15 pairs: 0.99; human: 1.17). Normality was rejected for the large datasets (brain, D’Agostino-Pearson: P &lt; 2.2 × 10⁻¹⁶; human, Shapiro-Wilk: P = 7.6 × 10⁻⁴²); the mouse pilot (n = 15 pairs) did not reject normality (Shapiro-Wilk P = 0.071), although the test has minimal power at this sample size. Effect sizes are reported as standardized effect size (SES = (ω_obs − μ_null) / σ_null), computed from the bootstrap permutation null distribution as a descriptive measure of separation; given the non-normal ω distribution, SES should be interpreted as a non-parametric descriptive statistic complementing the permutation P-value, not as a parametric test statistic such as Cohen’s d. The calibration experiment using split-half equivalent populations (n = 6 random splits of the same tissue) yielded a mean ω = 6.67 (95% bootstrap CI [4.24, 9.24], B = 10,000 resamples of the 6 control ω values), reflecting systematic inflation of k_f relative to k_n from identity-gene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(14), k_n captures baseline noise: technical variation, stochastic transcriptional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(used for the Tabula Muris full pairwise matrix, Supplementary Fig. S1), identity genes are the top-2,000 highly variable genes (HVGs; Seurat flavor), excluding HK genes to maintain k_n/k_f independence. For the mouse pilot calibration and all cross-species analyses (human, TCGA, brain), we used a hybrid scheme: k_n is computed per pair on the shared HK gene set, while k_f uses the top-200 differentially expressed genes (ranked by absolute mean difference) for that specific pair, with HK genes excluded. k_f is the JS divergence between these two identity gene probability distributions.</w:t>
      </w:r>
    </w:p>
    <w:p>
      <w:pPr>
        <w:spacing w:line="276" w:lineRule="auto" w:after="8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as a non-parametric descriptive statistic complementary to the permutation P-value.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8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0.786, Supplementary Fig. S1). CKI does not require external pathway databases to produce biologically meaningful results—partitioning the expression data into constrained baseline and identity gene sets is sufficient.</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We calibrated CKI on the Tabula Muris FACS dataset (8) (SmartSeq2, 15,057 cells, 22,308 genes, 6 organs). Housekeeping genes were loaded from the HRT Atlas v1.0 reference (14) (mouse ortholog column). For the full pairwise matrix (703 pairs, Supplementary Fig. S1),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w:t>
      </w:r>
    </w:p>
    <w:p>
      <w:pPr>
        <w:spacing w:line="276" w:lineRule="auto" w:after="80"/>
        <w:ind w:firstLine="0"/>
      </w:pPr>
      <w:r>
        <w:rPr>
          <w:rFonts w:ascii="Arial" w:hAnsi="Arial"/>
          <w:b w:val="0"/>
          <w:i w:val="0"/>
          <w:color w:val="000000"/>
          <w:sz w:val="22"/>
        </w:rPr>
        <w:t>We performed six control comparisons in which we randomly split the same cell population into two halves. The mean ω was 6.67 (median 6.46, range 1.59–12.16, CV ≈ 52%), indicating substantial variability in the empirical baseline estimate. None of the six comparisons reached statistical significance (all P &gt; 0.05, one-sided bootstrap test). This indicates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~52% limits the power of such tests and the precision of the calibration factor (ω_cal = ω / 6.67).</w:t>
      </w:r>
    </w:p>
    <w:p>
      <w:pPr>
        <w:spacing w:line="276" w:lineRule="auto" w:after="8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Because the pilot contains only 2–4 pairs per category, these category means carry wide bootstrap 95% CIs (S: 11.4–35.7; D: 30.1–61.7) and should be read as calibration-scale estimates rather than precise effect sizes. The component-level analysis confirmed that k_f was the driver: from controls to inter-cell-type comparisons, k_f increased roughly 400-fold (mean 0.0015 → 0.63–0.68), while k_n increased only 72–118-fold (0.00022 → 0.016–0.026; control-to-D and control-to-X, respectively). This establishes that CKI measures functional divergence, not just total difference.</w:t>
      </w:r>
    </w:p>
    <w:p>
      <w:pPr>
        <w:spacing w:line="276" w:lineRule="auto" w:after="80"/>
        <w:ind w:firstLine="0"/>
      </w:pPr>
      <w:r>
        <w:rPr>
          <w:rFonts w:ascii="Arial" w:hAnsi="Arial"/>
          <w:b w:val="0"/>
          <w:i w:val="0"/>
          <w:color w:val="000000"/>
          <w:sz w:val="22"/>
        </w:rPr>
        <w:t>Because the empirical baseline (ω = 6.67, 95% bootstrap CI [4.24, 9.24]) deviates substantially from the theoretical ideal (ω = 1), we introduce a calibrated omega: ω_cal = ω_obs / 6.67. Given the width of the baseline CI, calibrated values are reported with one significant figure (with the range implied by the baseline CI given where informative) and should be read as order-of-magnitude estimates rather than precise quantities. Under this mouse-derived calibration, mouse controls yield ω_cal = 1.0, the brain global mean becomes ω_cal ≈ 5 (raw 32.56; range 3.5–7.7 across the baseline CI), and astrocytes—the most regionally divergent brain cell type—yield ω_cal ≈ 12 (raw 76.83; range 8.3–18.1). The most constrained class, Bergmann glia, yields ω_cal ≈ 2 (raw 11.17). However, a scheme-matched split-half calibration performed inside the brain atlas itself (29 populations with at least 200 nuclei; B = 50 random splits per population) gave an internal baseline of 12.29 (95% bootstrap CI [12.12, 12.47]), approximately 1.8-fold higher than the mouse-derived factor, indicating that the mouse-derived calibration overstates ω_cal in the brain dataset. Under the brain-internal baseline, the brain global mean corresponds to ω_cal ≈ 2.7, astrocytes to ω_cal ≈ 6.3, and Bergmann glia to ω_cal ≈ 0.9: the most constrained class sits at, not above, the split-half expectation for equivalent brain populations, so the conclusion that essentially all non-neuronal classes exceed the split-half baseline does not hold under internal calibration—only the pooled and astrocyte-level signals remain clearly above the internal baseline. In Tabula Sapiens, the analogous scheme-matched internal baseline was 7.67 (95% bootstrap CI [7.39, 8.00]; 71 populations from the largest donor per group), which lies inside the mouse-derived CI [4.24, 9.24]; the mouse-derived calibration factor is therefore transferable to the Tabula Sapiens dataset but not to the brain atlas, and ω_cal should be treated as a dataset-relative quantity rather than a universal constant. The calibrated values are reported alongside raw ω in all key results and Supplementary Figures 8–12, and the calibrate_omega() function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We extended CKI to the Tabula Sapiens human atlas (9) (108,136 cells; 6 h5ad files total, 102 cell-type entries, 99 of which passed the pairwise-analysis filters and contributed C(99, 2) = 4,851 pairs; 6 organs: liver, kidney, heart, bone marrow, spleen, lung). For human data, we used the same hybrid scheme as the mouse pilot: k_n was computed per pair on the shared HK gene set (a single HK reference applied to all pairs, keeping k_n on a consistent scale across the atlas), while k_f was computed per pair using the top-200 differentially expressed genes for that specific pair. Since ω = k_f/k_n is a ratio of JS divergences computed from the same underlying pseudobulk expression space, the normalization remains internally valid. As a sensitivity analysis, we contrasted this per-pair k_n estimator with a global-k_n variant (k_n computed once from the full gene-by-cell-type pseudobulk matrix): across 31,764 brain comparisons, per-pair k_n showed substantial cross-pair variability (CV = 92.89%), and the Spearman correlation between per-pair ω and global-k_n ω was only 0.181 (P = 9.38e-232), confirming that pair-specific k_n is essential for accurate ω ranking (Supplementary Fig. S11). HK genes were loaded from the HRT Atlas v1.0 reference (14) (human column) (Fig. 3).</w:t>
      </w:r>
    </w:p>
    <w:p>
      <w:pPr>
        <w:spacing w:line="276" w:lineRule="auto" w:after="80"/>
        <w:ind w:firstLine="0"/>
      </w:pPr>
      <w:r>
        <w:rPr>
          <w:rFonts w:ascii="Arial" w:hAnsi="Arial"/>
          <w:b w:val="0"/>
          <w:i w:val="0"/>
          <w:color w:val="000000"/>
          <w:sz w:val="22"/>
        </w:rPr>
        <w:t>Human ω values ranged from 1.35 to 87.69 (mean 21.61, median 19.65, n = 4,851 pairs). We deliberately refrain from comparing these absolute magnitudes with the mouse pilot X-category mean (27.31): that summary rests on only n = 2 pairs of a different pair composition on a different dataset scale, and cross-dataset ω comparisons are interpreted as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five metrics on all 4,851 human cell-type pairs: CKI ω, raw JS divergence (all genes), Spearman distance, cosine distance, and marker Jaccard distance. CKI ω was negatively correlated with all four standard metrics (Spearman r = -0.36 to -0.46, all P &lt; 0.001). In contrast, the four standard metrics formed a tight positive cluster (pairwise r = 0.57–0.93). Because ω = k_f/k_n is a ratio, a negative correlation with the standard metrics can arise mechanically when the denominator k_n is itself positively correlated with those metrics (the classical spurious correlation of ratios). We therefore decomposed the association: k_f was positively correlated with the standard metrics (Spearman r = +0.43 to +0.72), and k_n more strongly so (r = +0.69 to +0.81); consistent with a partial denominator effect, the Spearman correlation between ω and each standard metric conditional on k_n became positive in all four cases (partial r = +0.11 to +0.54, all P &lt; 1 × 10⁻¹⁴; 95% bootstrap CIs excluding zero). The negative raw correlation is thus partly a ratio artifact of the k_n denominator and should not be interpreted as evidence that ω measures a fully independent information dimension; rather,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below Spearman distance at AUC = 0.690 and below cosine distance at AUC = 0.887; Table 1; Supplementary Fig. S4). This lower ranking is expected by design: CKI down-weights shared HK gene patterns to isolate functional divergence, trading some ability to detect global transcriptional identity for enhanced sensitivity to functional specialization. The AUC rank therefore validates that CKI captures a distinct signal rather than being a better general-purpose classifier. Critically, CKI was the only metric where same-organ different-cell-type pairs had higher values than different-organ different-cell-type pairs (mean ω 24.87, n = 1,038 vs. 20.80, n = 3,754; all different-organ pairs combined, including same-cell-type cross-organ pairs: 20.73, n = 3,813;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420" w:after="160"/>
      </w:pPr>
      <w:r>
        <w:rPr>
          <w:rFonts w:ascii="Arial" w:hAnsi="Arial"/>
          <w:color w:val="000000"/>
          <w:sz w:val="24"/>
          <w:b/>
        </w:rPr>
        <w:t>Cancer analysis suggests potential transcriptional convergence (exploratory)</w:t>
      </w:r>
    </w:p>
    <w:p>
      <w:pPr>
        <w:spacing w:line="276" w:lineRule="auto" w:after="80"/>
        <w:ind w:firstLine="0"/>
      </w:pPr>
      <w:r>
        <w:rPr>
          <w:rFonts w:ascii="Arial" w:hAnsi="Arial"/>
          <w:b w:val="0"/>
          <w:i w:val="0"/>
          <w:color w:val="000000"/>
          <w:sz w:val="22"/>
        </w:rPr>
        <w:t>We applied CKI to TCGA bulk RNA-seq data across five cancer types (LUAD, LUSC, LIHC, KIRC, BRCA) (10,11), totalling 3,596 samples. We asked a simple question: when cancer develops, how much functional transcriptional divergence occurs? CKI provides a principled answer by comparing tumor-tumor (TT), normal-normal (NN), and tumor-normal (TN) ω values (Fig. 4; Supplementary Fig. S3).</w:t>
      </w:r>
    </w:p>
    <w:p>
      <w:pPr>
        <w:spacing w:line="276" w:lineRule="auto" w:after="80"/>
        <w:ind w:firstLine="0"/>
      </w:pPr>
      <w:r>
        <w:rPr>
          <w:rFonts w:ascii="Arial" w:hAnsi="Arial"/>
          <w:b w:val="0"/>
          <w:i w:val="0"/>
          <w:color w:val="000000"/>
          <w:sz w:val="22"/>
        </w:rPr>
        <w:t>The TCGA analysis is inherently exploratory because bulk RNA-seq cannot distinguish genuine transcriptional convergence of tumor cells from at least three alternative explanations: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A further caveat is that TCGA "normal" samples are adjacent non-tumor tissues from cancer patients, not healthy donor tissue, so NN comparisons quantify heterogeneity among adjacent non-tumor specimens rather than among healthy individuals. With these caveats, a notable observation, at bulk RNA-seq resolution, was that tumors appeared more transcriptionally homogeneous than adjacent non-tumor tissues. In all five cancer types, the median NN/TT ω ratio exceeded 1.0, meaning that adjacent non-tumor specimens differ more from each other than tumors differ from each other. Liver cancer (LIHC) showed the smallest contrast (median NN/TT = 1.23), while lung adenocarcinoma (LUAD) showed the largest (median NN/TT = 2.32), with intermediate values for breast cancer (BRCA 1.51), lung squamous (LUSC 1.77), and kidney clear cell (KIRC 2.19). Single-cell or deconvolution-based analyses would be needed to disentangle genuine transcriptional convergence from cell-composition artifacts.</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0.89–1.54).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We then asked whether ω tracks with clinical severity within cancer types. In liver cancer, ω decreased with increasing Edmondson grade (25): G1 (73.5 ± 15.6, n = 39) &gt; G2 (67.0 ± 17.7, n = 133) &gt; G3 (66.2 ± 17.1, n = 105) ≈ G4 (66.2 ± 24.5, n = 11; Jonckheere-Terpstra trend test, P &lt; 0.0001). In breast cancer, PAM50 subtype analysis (23,24) revealed a gradient of transcriptional heterogeneity: Luminal A tumors had the highest intratumoral ω (123.4 ± 36.2, n = 224), followed by Luminal B (116.6 ± 26.9, n = 123), HER2-enriched (103.1 ± 29.4, n = 55), and Basal-like tumors (97.8 ± 27.1, n = 97), with Normal-like tumors having the lowest ω (90.5 ± 44.6, n = 7; Kruskal-Wallis, P = 7.9 × 10⁻¹⁰). Lung adenocarcinoma mutation stratification showed significant differences (Kruskal-Wallis, P = 2.1 × 10⁻⁶), with KRAS-mutant (118.1 ± 27.7, n = 120) and EGFR-mutant tumors (107.0 ± 24.8, n = 61) exhibiting higher ω than wild-type tumors (100.5 ± 33.9,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single-pair means shown without SD) are listed below the divider, and their rankings should be interpreted as suggestive only.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Among the 4,851 Tabula Sapiens cell-type pairs, 59 are same-cell-type cross-organ comparisons. These pairs allowed us to ask: which cell types maintain their transcriptional identity regardless of where they reside, and which are strongly shaped by their organ environment (Fig. 5; Table 2; Supplementary Fig. S5)?</w:t>
      </w:r>
    </w:p>
    <w:p>
      <w:pPr>
        <w:spacing w:line="276" w:lineRule="auto" w:after="80"/>
        <w:ind w:firstLine="0"/>
      </w:pPr>
      <w:r>
        <w:rPr>
          <w:rFonts w:ascii="Arial" w:hAnsi="Arial"/>
          <w:b w:val="0"/>
          <w:i w:val="0"/>
          <w:color w:val="000000"/>
          <w:sz w:val="22"/>
        </w:rPr>
        <w:t>The cross-organ ω ranking reveals a broad spectrum of conservation across 17 cell types (Table 2). Because single-pair means are statistically uninformative, we anchor interpretation on well-sampled cell types (n ≥ 5 pairs; upper block of Table 2). Among these, CD8+ T cells (mean ω = 9.93 ± 4.62, n = 6) and Plasma cells (mean ω = 10.20 ± 2.03, n = 6) were the most conserved, followed by Neutrophils (mean 14.22 ± 8.49, n = 6) and NK cells (mean 17.28 ± 3.14, n = 10); Macrophages, the most abundant cell type in cross-organ comparisons (n = 15), showed intermediate conservation (mean 15.49 ± 8.46). At the divergent end, Endothelial cells (mean 26.25 ± 8.59, n = 3) and Erythrocytes (mean 29.36 ± 23.07, n = 3) had the highest cross-organ ω, consistent with the known organ-specific gene programs of endothelial cells (29), although both are represented by only n = 3 pairs, so this end of the ranking is suggestive only. Among the sparsely sampled cell types (n = 1–3 pairs, lower block of Table 2), Hepatocytes (mean 8.57, n = 1) and B cells (mean 9.36, n = 1) show the lowest single-pair ω values, but with one pair each these estimates carry no reliable biological signal, and we do not assign them biological weight.</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constrained baseline k_n is low, even modest functional differences can produce a high ω. This normalization reveals patterns that raw expression similarity misses.</w:t>
      </w:r>
    </w:p>
    <w:p>
      <w:pPr>
        <w:pStyle w:val="Heading2"/>
        <w:spacing w:before="420" w:after="160"/>
      </w:pPr>
      <w:r>
        <w:rPr>
          <w:rFonts w:ascii="Arial" w:hAnsi="Arial"/>
          <w:color w:val="000000"/>
          <w:sz w:val="24"/>
          <w:b/>
        </w:rPr>
        <w:t>Brain regional analysis reveals cell-type differentiation gradients</w:t>
      </w:r>
    </w:p>
    <w:p>
      <w:pPr>
        <w:spacing w:line="276" w:lineRule="auto" w:after="80"/>
        <w:ind w:firstLine="0"/>
      </w:pPr>
      <w:r>
        <w:rPr>
          <w:rFonts w:ascii="Arial" w:hAnsi="Arial"/>
          <w:b w:val="0"/>
          <w:i w:val="0"/>
          <w:color w:val="000000"/>
          <w:sz w:val="22"/>
        </w:rPr>
        <w:t>We applied CKI to the Siletti et al. human brain single-nucleus RNA-seq atlas (12),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886,808 nuclei in groups passing the &gt;= 20-nuclei filter contributed to the analysis. Neurons were excluded because the supercluster_term annotation does not resolve the extensive neuronal subtype heterogeneity (glutamatergic, GABAergic, dopaminergic, etc., spanning dozens of transcriptionally distinct populations). Treating neurons as a single cell class would violate the same-cell-type assumption of our cross-region framework, as different brain regions contain fundamentally different neuron subtype compositions. We therefore restricted the analysis to non-neuronal cells, where the supercluster_term annotation provides a practical level of aggregation for same-cell-type cross-region comparison, and computed CKI ω for all same-cell-type cross-region comparisons (31,764 pairs total) (Fig. 6; Supplementary Fig. S6). These classes are not equally well defined, however: vascular cells and fibroblasts are heterogeneous superclusters that likely aggregate multiple transcriptionally distinct subtypes (perivascular and meningeal populations among others), so their class-level ω values represent supercluster averages rather than properties of a single coherent cell type.</w:t>
      </w:r>
    </w:p>
    <w:p>
      <w:pPr>
        <w:spacing w:line="276" w:lineRule="auto" w:after="80"/>
        <w:ind w:firstLine="0"/>
      </w:pPr>
      <w:r>
        <w:rPr>
          <w:rFonts w:ascii="Arial" w:hAnsi="Arial"/>
          <w:b w:val="0"/>
          <w:i w:val="0"/>
          <w:color w:val="000000"/>
          <w:sz w:val="22"/>
        </w:rPr>
        <w:t>The analysis revealed a pronounced differentiation gradient spanning 6.88-fold. Bergmann glia showed the lowest mean ω (11.17 ± 3.50, n = 21 pairs across 7 regions); because Bergmann glia are restricted to the cerebellum, all 21 of their comparisons are intra-cerebellar, and their low ω partly reflects this anatomical restriction rather than solely a low intrinsic capacity for regional divergence. Bergmann glia were followed by vascular cells (12.60 ± 4.03, n = 3,321 pairs across 82 regions), microglia (13.50 ± 5.07, n = 5,671 pairs across 107 regions), fibroblasts (13.99 ± 4.43, n = 3,403 pairs across 83 regions), and ependymal cells (14.52 ± 4.61, n = 780 pairs across 40 regions). Oligodendrocyte precursors (22.56 ± 14.55, n = 5,671 pairs across 107 regions) and committed oligodendrocyte precursors (30.57 ± 14.78, n = 1,326 pairs across 52 regions) showed intermediate divergence. Oligodendrocytes (42.22 ± 23.84, n = 5,778 pairs across 108 regions) and astrocytes (76.83 ± 41.87, n = 5,778 pairs across 108 regions) were the most regionally divergent, astrocytes showing a 6.88-fold increase over Bergmann glia. Choroid plexus (33.97 ± 35.89, n = 15 pairs across 6 regions) was too sparsely sampled to rank reliably.</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8 of 10 cell classes, regional structure significantly raised the mean ω relative to the null at the permutation resolution floor (one-sided P = 9.99 × 10⁻⁴, standardized effect sizes 4.8–15.8). Bergmann glia reached only marginal significance (P = 0.031, SES = 2.0, n = 21 pairs), and choroid plexus showed no significant regional structure (P = 0.76, n = 15 pairs), both reflecting their limited number of comparisons. The differentiation gradient is therefore statistically robust at the cell-class level for the well-sampled classes.</w:t>
      </w:r>
    </w:p>
    <w:p>
      <w:pPr>
        <w:spacing w:line="276" w:lineRule="auto" w:after="80"/>
        <w:ind w:firstLine="0"/>
      </w:pPr>
      <w:r>
        <w:rPr>
          <w:rFonts w:ascii="Arial" w:hAnsi="Arial"/>
          <w:b w:val="0"/>
          <w:i w:val="0"/>
          <w:color w:val="000000"/>
          <w:sz w:val="22"/>
        </w:rPr>
        <w:t>Two further analyses probe the robustness of this gradient. First, because the atlas contains nuclei from only four donors and 94.5% of region pairs share at least one donor, the pooled gradient could in principle reflect donor identity rather than regional biology. Restricting comparisons to region pairs from the same donor (within-donor cross-region analysis; Methods) preserved the gradient: astrocytes remained the most regionally divergent class (mean ω = 43.92 across 11,139 within-donor pairs, compared with 76.83 in the pooled analysis) and Bergmann glia the least (10.80), a 4.07-fold gradient whose class ordering closely tracked the pooled ordering, so donor sharing cannot explain the gradient away—although within-donor values are systematically lower, indicating that part of the pooled between-region signal reflects between-donor variation. Second, we asked how much of the gradient is carried by the numerator k_f versus the denominator k_n. Component means show that the astrocyte-versus-Bergmann-glia contrast is predominantly a k_n effect: k_f differs only 1.2-fold between the two classes (0.033 vs. 0.027), whereas mean k_n differs 5.7-fold (4.9 × 10⁻⁴ vs. 2.8 × 10⁻³). The ω gradient therefore chiefly reflects differences in how stably housekeeping programs are maintained across regions (lower k_n, higher ω), not proportionally larger functional-gene divergence. Consistent with this, the class ordering is stable under an aggregate-first k_n estimator (k_n computed once per cell type before ratio formation; Spearman ρ = 0.988 versus the per-pair estimator, gradient 6.97-fold), but is not preserved under a single global k_n shared by all classes (ρ = −0.21), because that variant effectively rescales k_f alone. We therefore recommend interpreting class-level ω as a composite signal and comparing k_f and k_n components directly when mechanistic attribution matters.</w:t>
      </w:r>
    </w:p>
    <w:p>
      <w:pPr>
        <w:spacing w:line="276" w:lineRule="auto" w:after="80"/>
        <w:ind w:firstLine="0"/>
      </w:pPr>
      <w:r>
        <w:rPr>
          <w:rFonts w:ascii="Arial" w:hAnsi="Arial"/>
          <w:b w:val="0"/>
          <w:i w:val="0"/>
          <w:color w:val="000000"/>
          <w:sz w:val="22"/>
        </w:rPr>
        <w:t>This gradient aligns with known cell biology. Vascular cells and fibroblasts are tissue-resident populations that are maintained and replenished locally rather than exchanged through the circulation; their low ω values indicate that the core transcriptional programs of these superclusters are broadly conserved across brain regions. Low class-level ω should not be read as spatial uniformity of the vasculature: the blood-brain barrier is itself molecularly heterogeneous between brain regions (30), and meningeal structure differs across compartments (31); rather, such regional specialization is small relative to the transcriptional differences that define distinct cell identities. Microglia, the brain's resident immune cells, showed low-to-intermediate divergence: while microglial phenotypes vary regionally, their core surveillance and phagocytic machinery is shared (32). Oligodendrocytes must myelinate diverse axonal populations and adjust internode lengths regionally, explaining their intermediate-to-high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(32.56) is lower than the astrocyte mean (76.83) because it is dominated by cell types with many pairs and lower ω (e.g., vascular cells n = 3,321 at 12.60, microglia n = 5,671 at 13.50); it is not a contradiction but a consequence of the skewed distribution of pair counts across cell types.</w:t>
      </w:r>
    </w:p>
    <w:p>
      <w:pPr>
        <w:spacing w:line="276" w:lineRule="auto" w:after="80"/>
        <w:ind w:firstLine="0"/>
      </w:pPr>
      <w:r>
        <w:rPr>
          <w:rFonts w:ascii="Arial" w:hAnsi="Arial"/>
          <w:b w:val="0"/>
          <w:i w:val="0"/>
          <w:color w:val="000000"/>
          <w:sz w:val="22"/>
        </w:rPr>
        <w:t>The cross-region ω gradient provides a computational framework for generating hypotheses about cell residence and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This framework must, however, be applied with cell biology in mind. Vascular cells and fibroblasts are tissue-resident and replenished locally, so their low ω is more parsimoniously explained by local maintenance of a conserved structural program than by any inter-regional exchange. Conversely, OPCs—the most actively migrating non-neuronal population—nevertheless show an intermediate-to-high global mean ω (22.56), indicating that migration history shapes ω only for specific region pairs (as reflected in the candidate screen below) rather than at the class-global level. As shown below, however, no individual candidate signal from the migration screen survives multiple-testing correction, so this framework is presented as hypothesis generation complementing lineage tracing and developmental studies rather than as inference.</w:t>
      </w:r>
    </w:p>
    <w:p>
      <w:pPr>
        <w:pStyle w:val="Heading2"/>
        <w:spacing w:before="420" w:after="160"/>
      </w:pPr>
      <w:r>
        <w:rPr>
          <w:rFonts w:ascii="Arial" w:hAnsi="Arial"/>
          <w:color w:val="000000"/>
          <w:sz w:val="24"/>
          <w:b/>
        </w:rPr>
        <w:t>Anomalously similar cell-type/region pairs: a hypothesis-generating screen</w:t>
      </w:r>
    </w:p>
    <w:p>
      <w:pPr>
        <w:spacing w:line="276" w:lineRule="auto" w:after="80"/>
        <w:ind w:firstLine="0"/>
      </w:pPr>
      <w:r>
        <w:rPr>
          <w:rFonts w:ascii="Arial" w:hAnsi="Arial"/>
          <w:b w:val="0"/>
          <w:i w:val="0"/>
          <w:color w:val="000000"/>
          <w:sz w:val="22"/>
        </w:rPr>
        <w:t>Low CKI ω between a cell type across two brain regions indicates transcriptomic similarity beyond baseline expectation. Such similarity can arise from at least four non-exclusive mechanisms: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(33–35)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below is therefore a literature-guided interpretation of candidates, not a validated discovery.</w:t>
      </w:r>
    </w:p>
    <w:p>
      <w:pPr>
        <w:spacing w:line="276" w:lineRule="auto" w:after="80"/>
        <w:ind w:firstLine="0"/>
      </w:pPr>
      <w:r>
        <w:rPr>
          <w:rFonts w:ascii="Arial" w:hAnsi="Arial"/>
          <w:b w:val="0"/>
          <w:i w:val="0"/>
          <w:color w:val="000000"/>
          <w:sz w:val="22"/>
        </w:rPr>
        <w:t>To formalize the screen, we used a multiplicative model: for each (cell_type, region_pair) combination, expected_ω = μ_ct × μ_pair / μ_grand, where μ_ct is the cell type's global mean ω, μ_pair is the region pair's mean ω, and μ_grand is the global mean (32.56).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shared developmental history or recent migration. We defined three confidence tiers: Strong (residual &lt; 0.3, ω &lt; 15, lowest ω in the region pair), Moderate (residual &lt; 0.5, ω &lt; 25), and Weak (residual &lt; 0.75, ω &lt; 35; Supplementary Fig. S7).</w:t>
      </w:r>
    </w:p>
    <w:p>
      <w:pPr>
        <w:spacing w:line="276" w:lineRule="auto" w:after="80"/>
        <w:ind w:firstLine="0"/>
      </w:pPr>
      <w:r>
        <w:rPr>
          <w:rFonts w:ascii="Arial" w:hAnsi="Arial"/>
          <w:b w:val="0"/>
          <w:i w:val="0"/>
          <w:color w:val="000000"/>
          <w:sz w:val="22"/>
        </w:rPr>
        <w:t>Among 31,764 cross-region comparisons, threshold criteria identified 55 (0.17%) Strong candidates, with 2,120 (6.67%) Moderate and 6,149 (19.36%) Weak candidates. Under the block-shuffle null (B = 1,000), 37 of the 55 Strong candidates showed raw one-sided P &lt; 0.05, but after Benjamini-Hochberg correction across all 31,764 pairs, none reached q &lt; 0.05 (minimum q = 0.949). This null FDR outcome is structural rather than purely empirical: with m = 31,764 tests, the BH threshold for the smallest ordered P-value (0.05/31,764 ≈ 1.6 × 10⁻⁶) lies roughly 600-fold below the smallest resolvable permutation P (9.99 × 10⁻⁴ at B = 1,000), so q &lt; 0.05 could not be reached at any effect size without B ≈ 6 × 10⁵ permutations. Globally, 938 of 31,764 pairs (3.0%) showed raw P &lt; 0.05, fewer than the ~1,588 (5%) expected under a global null, indicating no aggregate excess of small P-values in the per-pair screen. We therefore present the Strong candidates as a prioritized hypothesis list rather than confirmed discoveries. The candidates concentrate in the oligodendrocyte lineage: OPCs contributed 27 Strong candidates (16 with raw P &lt; 0.05), committed OPCs 12 (12), oligodendrocytes 11 (4), astrocytes 2 (2), fibroblasts 2 (2), and ependymal cells 1 (1); microglia, vascular cells, choroid plexus, and Bergmann glia contributed none. The tier thresholds themselves were chosen pragmatically rather than derived, so we assessed their sensitivity: across a grid of 19 (residual-cap, ω-cap) combinations spanning residual &lt; 0.2–0.4 and ω &lt; 12–25, the oligodendrocyte-lineage concentration of Strong candidates remained significant in 16 of 19 combinations (hypergeometric P ≤ 1.4 × 10⁻³ at every residual cap ≥ 0.25; failures were confined to the most extreme residual cap of 0.2, where only one candidate passes at all), and the default thresholds sit within this stable region. Formal enrichment testing of the lineage concentration at the default thresholds confirmed it: the three oligodendrocyte-lineage classes account for 40.2% of all pairs but 50 of the 55 Strong candidates (fold enrichment 2.26; hypergeometric P = 4.5 × 10⁻¹⁵, confirmed by permutation P = 1.0 × 10⁻⁵ over B = 100,000 random label reassignments of the pair-to-class assignment; OPCs alone: P = 1.2 × 10⁻⁷).</w:t>
      </w:r>
    </w:p>
    <w:p>
      <w:pPr>
        <w:pStyle w:val="Heading3"/>
        <w:spacing w:before="420" w:after="160"/>
      </w:pPr>
      <w:r>
        <w:rPr>
          <w:rFonts w:ascii="Arial" w:hAnsi="Arial"/>
          <w:color w:val="000000"/>
          <w:sz w:val="22"/>
          <w:b/>
        </w:rPr>
        <w:t>OPCs dominate the candidate list</w:t>
      </w:r>
    </w:p>
    <w:p>
      <w:pPr>
        <w:spacing w:line="276" w:lineRule="auto" w:after="80"/>
        <w:ind w:firstLine="0"/>
      </w:pPr>
      <w:r>
        <w:rPr>
          <w:rFonts w:ascii="Arial" w:hAnsi="Arial"/>
          <w:b w:val="0"/>
          <w:i w:val="0"/>
          <w:color w:val="000000"/>
          <w:sz w:val="22"/>
        </w:rPr>
        <w:t>Oligodendrocyte precursor cells (OPCs) are the most actively migrating cells in the adult CNS, continuously surveilling their environment along vascular scaffolds (36,37). Consistent with this motility, OPCs contributed the largest share of Strong candidates (27 of 55, of which 16 had raw block-shuffle P &lt; 0.05)—roughly 2.7-fold more than expected from their share of comparisons (17.9% of pairs). The OPC candidates show two convergences: eight pairs involve the temporal frontal cortex (TF) as one endpoint (with MTG, MN, MoAN, PB, Pul, RN, SEP, SI), and several involve basal forebrain or diencephalic targets (A13-LEC, A19-LEC, A19-PAG, A1C-Idg, A24-GPe, A5-A7-GPi, A5-A7-IO). Because no candidate survives FDR correction, we read this concentration as consistent with—but by no means proof of—the known developmental dispersal and adult surveillance of the OPC lineage, warranting lineage-tracing follow-up.</w:t>
      </w:r>
    </w:p>
    <w:p>
      <w:pPr>
        <w:pStyle w:val="Heading3"/>
        <w:spacing w:before="420" w:after="160"/>
      </w:pPr>
      <w:r>
        <w:rPr>
          <w:rFonts w:ascii="Arial" w:hAnsi="Arial"/>
          <w:color w:val="000000"/>
          <w:sz w:val="22"/>
          <w:b/>
        </w:rPr>
        <w:t>Committed OPCs and oligodendrocytes: subcortical convergence</w:t>
      </w:r>
    </w:p>
    <w:p>
      <w:pPr>
        <w:spacing w:line="276" w:lineRule="auto" w:after="80"/>
        <w:ind w:firstLine="0"/>
      </w:pPr>
      <w:r>
        <w:rPr>
          <w:rFonts w:ascii="Arial" w:hAnsi="Arial"/>
          <w:b w:val="0"/>
          <w:i w:val="0"/>
          <w:color w:val="000000"/>
          <w:sz w:val="22"/>
        </w:rPr>
        <w:t>Committed oligodendrocyte precursors contributed 12 Strong candidates, all with raw P &lt; 0.05. Seven of the twelve involve the substantia nigra pars reticulata (SN-RN) as one endpoint (e.g., SI-SN-RN, SEP-SN-RN, Pul-SN-RN, MN-SN-RN, M1C-SN-RN), a notable convergence given the 52 regions available to this class. Mature oligodendrocytes contributed 11 Strong candidates, 4 with raw P &lt; 0.05 (A24-A5/A7, A35/36-SI, A43-HTHpo, FI-SN), all cortex-or-insula versus subcortical pairings. The prevailing view is that adult oligodendrocytes do not migrate between regions; Foerster et al. (38) demonstrated that cortical oligodendrocytes are predominantly dorsally derived, whereas thalamic and brainstem oligodendrocytes are ventrally derived, with persistent cell-autonomous transcriptional identity. The cortex-versus-subcortex orientation of these candidates is compatible with such developmental origin boundaries rather than migration, but given the null FDR result we present this as one candidate interpretation among several.</w:t>
      </w:r>
    </w:p>
    <w:p>
      <w:pPr>
        <w:pStyle w:val="Heading3"/>
        <w:spacing w:before="420" w:after="160"/>
      </w:pPr>
      <w:r>
        <w:rPr>
          <w:rFonts w:ascii="Arial" w:hAnsi="Arial"/>
          <w:color w:val="000000"/>
          <w:sz w:val="22"/>
          <w:b/>
        </w:rPr>
        <w:t>Astrocytes, fibroblasts, and ependymal cells: sparse candidates</w:t>
      </w:r>
    </w:p>
    <w:p>
      <w:pPr>
        <w:spacing w:line="276" w:lineRule="auto" w:after="80"/>
        <w:ind w:firstLine="0"/>
      </w:pPr>
      <w:r>
        <w:rPr>
          <w:rFonts w:ascii="Arial" w:hAnsi="Arial"/>
          <w:b w:val="0"/>
          <w:i w:val="0"/>
          <w:color w:val="000000"/>
          <w:sz w:val="22"/>
        </w:rPr>
        <w:t>Astrocytes, the most regionally divergent class (mean ω = 76.83), contributed only 2 Strong candidates (A19-AON and MoRF-MoEN/MoSR, both raw P &lt; 0.05); fibroblasts contributed 2 (CA1U-SN, GPi-Sub) and ependymal cells 1 (CA1U-SEP), all with raw P &lt; 0.05. Bergmann glia contributed none, consistent with their developmentally patterned, transcriptionally constrained state in the adult cerebellum (39,40) and their low global ω (11.17)—though, as noted above, all Bergmann glia comparisons are intra-cerebellar, so both the low class mean and the absence of candidates partly reflect the anatomical restriction of this class to a single brain structure. None of these sparse signals survive multiple-testing correction; they are catalogued because their region identities are compatible with published developmental mechanisms (compartmentalized astrogenesis (41); cerebellar molecular topography (39)),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differentiation gradient is robust (8 of 10 classes at P = 9.99 × 10⁻⁴, with Bergmann glia marginal at P = 0.031), whereas no individual cell-type/region-pair candidate survives FDR correction. An earlier implementation of this test, which shuffled cell-type labels within each region pair (B = 10,000), produced anti-conservative P-values (36.3% of pairs at the P-value floor) because per-pair shuffling ignores the block structure of 10x libraries; the block-shuffle null used here preserves that structure.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(95% bootstrap CI [4.24, 9.24]), demonstrating that k_f systematically exceeds k_n even for identical populations due to identity-gene selection. We therefore use ω_cal = ω / 6.67 as the operational scale, with ω_cal ≪ 1 and ω_cal ≫ 1 interpreted as functional constraint and enhanced divergence, respectively—not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negative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(42) and SATURN (4) excel at cross-species alignment; CACIMAR (43)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 Additionally, the raw ω scale varies substantially across datasets and computation schemes (e.g., BRCA Luminal A ω ≈ 123.4 vs. mean brain regional ω = 32.6). In TCGA, per-pair k_n is comparable to the single-cell datasets (mean 0.005, range 1.6 × 10⁻⁴–5.6 × 10⁻², versus a mean per-pair k_n of 0.003 in the brain single-nucleus dataset), so the higher raw ω in TCGA is driven primarily by a larger k_f: bulk tumor-versus-normal expression differences span thousands of genes, yielding a large numerator relative to the k_n baseline, rather than by compression of the denominator.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robust 6.88-fold ω gradient across 10 cell classes (from 11.17 in Bergmann glia to 76.83 in astrocytes), significant at the cell-class level under a block-shuffle null for 8 of 10 classes at the permutation resolution floor (with Bergmann glia marginal at P = 0.031), demonstrating that CKI can detect regional functional specialization even among cells of the same type. The multiplicative residual model identified 55 threshold-passing Strong candidates; under the block-shuffle null (B = 1,000) that permutes 10x-library-to-region assignments while preserving the cell-type-by-region design, 37 of these showed raw P &lt; 0.05, but none survived Benjamini-Hochberg correction across all 31,764 pairs (minimum q = 0.949). We therefore interpret the candidate list as hypothesis-generating rather than as confirmed discoveries. The candidates concentrate in the oligodendrocyte lineage (27 of 55 from OPCs, 12 from committed OPCs, 11 from oligodendrocytes), a pattern consistent with the known motility of OPCs (36,37) and the developmental origin boundaries of mature oligodendrocytes (38), but these interpretations require lineage-tracing validation. Notably, an earlier per-pair shuffle implementation of this test was anti-conservative (36.3% of pairs at the P-value floor) because it ignored the block structure of the experiment; the block-shuffle null rectifies this. These results illustrate a general principle for high-throughput screens in single-cell atlases: statistical claims require nulls that respect the experimental design (library and region blocks), and the absence of FDR-significant signals is itself informative, delimiting what can be concluded from adult transcriptomes alone. Preliminary cross-species validation using shared cell types between mouse and human atlases (44; Supplementary Fig. S2) was limited by the small number of directly comparable cell-type pairs, and ω rankings are moderately conserved between mouse and human for shared cell types, though absolute ω values differ due to different computation schemes (per-pair for mouse, hybrid for human).</w:t>
      </w:r>
    </w:p>
    <w:p>
      <w:pPr>
        <w:spacing w:line="276" w:lineRule="auto" w:after="8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(14)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identity-gene selection for k_f introduces systematic inflation: the calibration controls (random split of the same population, per-pair top-200 DE genes for k_f) yielded a mean ω = 6.67, demonstrating that k_f systematically exceeds k_n even for identical populations. This inflation is a direct consequence of pre-selecting genes ranked by the observed difference between the two groups (DE scheme) or by high cross-cell variance (HVG scheme).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Additionally, housekeeping gene expression may be dysregulated in cancer (45), potentially affecting the k_n baseline; we verified that HK genes detected by the combined criterion overlapped substantially with the reference set, but systematic cancer-specific HK dysregulation could inflate or deflate omega in a disease-specific manner.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post-mortem interval (PMI) varies across samples and may differentially affect RNA integrity by brain region and cell type, potentially introducing systematic biases in regional omega comparisons. Neuron-specific RNA degradation signatures (e.g., activity-dependent transcripts with short half-lives) could be disproportionately affected. However, oligodendrocyte-lineage signals dominate the residual model candidates, and glial cell types tend to be less sensitive to PMI-related degradation than neurons. Developmental time courses with controlled collection conditions would provide stronger evidence for migration inference and help disentangle PMI effects from genuine developmental signatures. Sixth, the brain regional analysis generated 31,764 cross-region comparisons. Benjamini-Hochberg FDR correction was applied within each dataset separately (bootstrap: m = 10 for brain, 17 for human, 15 for mouse; residual model: m = 31,764 for unadjusted permutation P-values). The 55 Strong candidates from the multiplicative residual model represent the most extreme deviations from the multiplicative expectation; none survived Benjamini-Hochberg correction under the block-shuffle null (minimum q = 0.949), and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for the large datasets (brain skewness = 2.10, excess kurtosis = 4.96, D’Agostino-Pearson P &lt; 2.2 × 10⁻¹⁶; human Shapiro-Wilk P = 7.6 × 10⁻⁴²; the mouse pilot at n = 15 pairs does not reject normality, P = 0.071). Consequently, SES is reported as a descriptive measure of effect size rather than a parametric test statistic. Eighth, permutation testing of the residual model with the block-shuffle null (B = 1,000, Benjamini-Hochberg FDR across all 31,764 pairs) showed that 37 of 55 Strong threshold-passing signals had raw P &lt; 0.05, but none survived FDR correction (minimum q = 0.949). These signals should be interpreted with caution as candidates for validation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mouse. Scheme-matched split-half calibration inside the two large single-cell datasets shows that the baseline is dataset-dependent: the Tabula Sapiens internal baseline (7.67, 95% CI [7.39, 8.00]) lies within the mouse CI [4.24, 9.24], whereas the brain-internal baseline (12.29, 95% CI [12.12, 12.47]) is approximately 1.8-fold higher, so the mouse-derived ω_cal overstates calibrated values in the brain dataset (Bergmann glia ω_cal ≈ 0.9 under the internal baseline rather than ≈ 2 under the mouse factor). Calibrated omega (ω_cal = ω / 6.67) therefore restores the interpretability of the ratio framework only in a dataset-relative sense and should be read as an order-of-magnitude quantity rather than a universal constant; the baseline may also vary across tissues, species, and sequencing platforms.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although all reported analyses compute k_n per pair on the shared HK gene set, k_n varies substantially across pairs (brain per-pair CV = 92.89% across all pairs; class-level CV 0.39–1.97), and the class-level ω gradient is predominantly denominator-driven: the astrocyte-versus-Bergmann-glia contrast corresponds to a 1.2-fold difference in mean k_f but a 5.7-fold difference in mean k_n. A sensitivity analysis contrasting per-pair k_n with a global-k_n variant (k_n computed once from the full gene-by-cell-type pseudobulk matrix) showed substantially different ω rankings (Spearman ρ = 0.181, and ρ = −0.21 in our replication), because that variant effectively rescales k_f alone; an aggregate-first estimator (k_n computed once per cell type, then paired with per-pair k_f means) preserved the ordering (ρ = 0.988, gradient 6.97-fold versus 6.88-fold). The choice of k_n estimator is therefore not innocuous: fine-grained ω orderings should be interpreted with the estimator choice in mind, and class-level ω should be read as a composite of numerator and denominator information rather than as a pure functional-divergence signal.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80"/>
        <w:ind w:firstLine="0"/>
      </w:pPr>
      <w:r>
        <w:rPr>
          <w:rFonts w:ascii="Arial" w:hAnsi="Arial"/>
          <w:b w:val="0"/>
          <w:i w:val="0"/>
          <w:color w:val="000000"/>
          <w:sz w:val="22"/>
        </w:rPr>
        <w:t>Sixteenth, the brain multiplicative-residual screen used a block-shuffle permutation null (B = 1,000) with 10x libraries as blocks. No cell-type/region-pair candidate survived Benjamini-Hochberg FDR correction (minimum q = 0.949 across m = 31,764 pairs); the 37 Strong-tier pairs with raw P &lt; 0.05 are reported as hypothesis-generating signals, not FDR-controlled discoveries. Because per-signal tests share cell types and regions, BH correction over all pairs is itself approximate; a hierarchical or permutation-based FDR estimate could further refine the multiplicity model. Seventeenth, the empirical calibration factor (ω_cal = ω / 6.67, 95% bootstrap CI [4.24, 9.24]) was derived from mouse split-half controls using the same per-pair DE hybrid scheme (per-pair k_n on the shared HK gene set; per-pair top-200 DE genes for k_f) as the human, TCGA, and brain analyses, so the calibration is scheme-matched for those datasets. The mouse full pairwise matrix (703 pairs, Supplementary Fig. S1) is the one analysis on a different gene-selection scheme (global top-2,000 HVGs for k_f); applying the pilot-derived factor to that matrix, or comparing absolute ω across the two schemes, should be done with the caveat that global HVG selection and per-pair DE selection produce k_f on different scales. The bootstrap CI [4.24, 9.24] quantifies the uncertainty of the baseline estimate: applying the lower bound (ω / 4.24) would shift ω_cal upward by a factor of 1.57, while the upper bound (ω / 9.24) would shift it downward by a factor of 0.72. All CKI conclusions—which rely on rank-based interpretation (ω gradients across cell types, Spearman correlations with external metrics, and permutation-based significance) rather than absolute ω_cal thresholds—are robust to this range. We verified scheme-specific transferability directly through scheme-matched split-half calibration inside the brain atlas (internal baseline 12.29, 95% CI [12.12, 12.47]) and inside Tabula Sapiens (7.67, 95% CI [7.39, 8.00]; Methods): the mouse-derived factor transfers to Tabula Sapiens but overstates ω_cal in the brain by approximately 1.8-fold, so dataset-internal baselines—computable with the split-half procedure described in Methods and the calibrate_omega function in the CKI package—should be preferred whenever absolute calibrated values, rather than within-dataset rankings, are required.</w:t>
      </w:r>
    </w:p>
    <w:p>
      <w:pPr>
        <w:spacing w:line="276" w:lineRule="auto" w:after="80"/>
        <w:ind w:firstLine="0"/>
      </w:pPr>
      <w:r>
        <w:rPr>
          <w:rFonts w:ascii="Arial" w:hAnsi="Arial"/>
          <w:b w:val="0"/>
          <w:i w:val="0"/>
          <w:color w:val="000000"/>
          <w:sz w:val="22"/>
        </w:rPr>
        <w:t>Eighteenth, the one-sided permutation test (H1: ω_obs &gt; ω_null) does not detect functional constraint (ω_obs &lt; ω_null); users investigating bidirectional hypotheses should employ two-sided permutation tests, available via the direction parameter in the CKI package. Nineteenth, the block-shuffle null treats each 10x library as an atomic block and permutes library-to-region assignments; it preserves per-region library counts but assumes libraries are otherwise exchangeable. Any systematic library-level confounding not removed by the design (e.g., batch correlated with dissection order) would distort the null in ways the permutation cannot capture. In addition, B = 1,000 permutations bounds the resolvable P-value at 9.99 × 10⁻⁴; because the BH threshold for the smallest of m = 31,764 ordered P-values is 0.05/31,764 ≈ 1.6 × 10⁻⁶, detecting FDR-significant per-pair signals would require B ≈ 6 × 10⁵ permutations (or a hierarchically structured multiplicity model), not merely stronger effects. Twentieth, the denominator k_n can approach zero in datasets with strong pseudobulk averaging (e.g., bulk RNA-seq). The CKI package therefore exposes an optional k_n floor: the TCGA analysis applies kn_floor = 1 × 10⁻⁴ (the aggregate tumor-versus-normal k_n ranged from 3.0 × 10⁻⁵ to 1.9 × 10⁻⁴ across the five cancer types, so ω saturates at k_f/10⁻⁴ in 3 of 5 cancer types), while all single-cell analyses use the package default of a positivity guard only (kn_floor = 0), leaving k_n uncapped. Users comparing absolute ω magnitudes across datasets should verify that per-pair k_n is well above any floor applied. Twenty-first, the brain analysis was restricted to non-neuronal cell types because the supercluster_term annotation does not resolve neuronal subtype heterogeneity; this limits the generalizability of our brain regional findings to non-neuronal lineages and should be noted when interpreting the scope of our cross-region analysis.</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(46). TCGA data: NCI Genomic Data Commons (https://portal.gdc.cancer.gov/). HRT Atlas (optional human/mouse HK reference): https://www.housekeeping.unicamp.br. Human brain atlas: CZ CELLxGENE Discover (collection ID as referenced in (12), accessed July 2025). PAM50 centroids: from Parker et al. (23). MSigDB Hallmark gene sets: from Liberzon et al. (47). The CKI source code (v0.3.1) is publicly available at https://github.com/zhanglknt/CKI-cell-type-identification (tag v0.3.1) under the MIT License. A permanent archival copy has been deposited at Zenodo (DOI: 10.5281/zenodo.15670808). The package requires Python ≥3.10 and runs on Linux, macOS, and Windows. A Dockerfile is provided in the repository for containerized reproducibility. All analysis notebooks and processed data matrices are available in the same GitHub repository (tag v0.3.1) and are included in the Zenodo archive (DOI: 10.5281/zenodo.15670808).</w:t>
      </w:r>
    </w:p>
    <w:p>
      <w:pPr>
        <w:pStyle w:val="Heading1"/>
        <w:spacing w:before="420" w:after="160"/>
      </w:pPr>
      <w:r>
        <w:rPr>
          <w:rFonts w:ascii="Arial" w:hAnsi="Arial"/>
          <w:color w:val="000000"/>
          <w:sz w:val="28"/>
          <w:b/>
        </w:rPr>
        <w:t>Supplementary Data</w:t>
      </w:r>
    </w:p>
    <w:p>
      <w:pPr>
        <w:spacing w:line="276" w:lineRule="auto" w:after="80"/>
        <w:ind w:firstLine="0"/>
      </w:pPr>
      <w:r>
        <w:rPr>
          <w:rFonts w:ascii="Arial" w:hAnsi="Arial"/>
          <w:b w:val="0"/>
          <w:i w:val="0"/>
          <w:color w:val="000000"/>
          <w:sz w:val="22"/>
        </w:rPr>
        <w:t>Supplementary Data are available at NAR Online.</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1"/>
        <w:spacing w:before="420" w:after="160"/>
      </w:pPr>
      <w:r>
        <w:rPr>
          <w:rFonts w:ascii="Arial" w:hAnsi="Arial"/>
          <w:color w:val="000000"/>
          <w:sz w:val="28"/>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420" w:after="160"/>
      </w:pPr>
      <w:r>
        <w:rPr>
          <w:rFonts w:ascii="Arial" w:hAnsi="Arial"/>
          <w:color w:val="000000"/>
          <w:sz w:val="28"/>
          <w:b/>
        </w:rPr>
        <w:t>Conflict of interest</w:t>
      </w:r>
    </w:p>
    <w:p>
      <w:pPr>
        <w:spacing w:line="276" w:lineRule="auto" w:after="80"/>
        <w:ind w:firstLine="0"/>
      </w:pPr>
      <w:r>
        <w:rPr>
          <w:rFonts w:ascii="Arial" w:hAnsi="Arial"/>
          <w:b w:val="0"/>
          <w:i w:val="0"/>
          <w:color w:val="000000"/>
          <w:sz w:val="22"/>
        </w:rPr>
        <w:t>The authors declare no competing interests.</w:t>
      </w:r>
    </w:p>
    <w:p>
      <w:pPr>
        <w:pStyle w:val="Heading1"/>
        <w:spacing w:before="420" w:after="160"/>
      </w:pPr>
      <w:r>
        <w:rPr>
          <w:rFonts w:ascii="Arial" w:hAnsi="Arial"/>
          <w:color w:val="000000"/>
          <w:sz w:val="28"/>
          <w:b/>
        </w:rPr>
        <w:t>Artificial intelligence use</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baseline-normalized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(baseline) marked by dashed line.</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Spearman correlation between CKI ω and four standard metrics (Cosine, Raw JS, Marker Jaccard, Spearman) on Tabula Muris data. All show negative correlation, confirming ω captures complementary information. (D)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Scatter plot of CKI ω vs. k_n (baseline rate) on Tabula Sapiens data (n = 4,851 pairs), colored by same-organ vs. cross-organ pairs, with Spearman r. (C) ROC curves for cell-type classification across five metrics on Tabula Sapiens data. (D) ω by comparison category: S (same cell type, different organ), D (different cell type, same organ), X (different cell type, different organ); the C category (random split of the same population) has no pairs in this dataset and is not shown. Box plots show log10(ω) distribution. (E) AUC (cell-type classification) vs. interpretability (decomposability) comparison across five metrics. CKI ω had the lowest AUC of all five metrics (0.680, versus 0.690 for Spearman, 0.801 for marker Jaccard, 0.849 for raw JS, and 0.887 for cosine) but is the only fully decomposable metric into baseline (k_n) and functional (k_f) components.</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adjacent non-tumor specimens differ more from each other than tumors differ from each other at bulk resolution (exploratory; TCGA normal samples are adjacent non-tumor tissues, not healthy donor tissue; pending single-cell or deconvolution-based validation).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plasma cells, CD8+ T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(mean ω per class, block-shuffle observed landscape). Bergmann glia (mean ω = 11.17) shows the lowest regional divergence; astrocytes (mean ω = 76.83) show the highest (6.88-fold gradient). (C) Astrocyte ω across representative brain regions (region × region matrix; warmer colors, higher ω). (D) Migration candidate detection: multiplicative residual model identifies 55 Strong candidates (residual &lt; 0.3, ω &lt; 15, lowest ω in pair) among 31,764 cross-region comparisons, shown as tier counts as a percentage of all pairs. (E) Observed vs. expected ω for the five strongest OPC Strong candidates (lowest residuals), showing the gap between observed regional similarity and the cell-type-specific expectation.</w:t>
      </w:r>
    </w:p>
    <w:p>
      <w:pPr>
        <w:pStyle w:val="Heading1"/>
        <w:spacing w:before="420" w:after="160"/>
      </w:pPr>
      <w:r>
        <w:rPr>
          <w:rFonts w:ascii="Arial" w:hAnsi="Arial"/>
          <w:color w:val="000000"/>
          <w:sz w:val="28"/>
          <w:b/>
        </w:rPr>
        <w:t>Supplementary Figure legends</w:t>
      </w:r>
    </w:p>
    <w:p>
      <w:pPr>
        <w:spacing w:line="276" w:lineRule="auto" w:after="8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4,851 pairs).</w:t>
      </w:r>
    </w:p>
    <w:p>
      <w:pPr>
        <w:spacing w:line="276" w:lineRule="auto" w:after="8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8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8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ω distribution per cell class (log scale; boxes: median and IQR, whiskers 1.5× IQR), from the block-shuffle observed landscape. (C) ω vs. number of regions (n_regions) per cell type, with Spearman ρ reported; broader spatial distribution is associated with greater transcriptomic divergence. (D) Region-region ω matrix for astrocytes across representative brain regions. (E) Top migration candidates (Strong tier) by 1 − residual.</w:t>
      </w:r>
    </w:p>
    <w:p>
      <w:pPr>
        <w:spacing w:line="276" w:lineRule="auto" w:after="8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contribute the largest share (27 of 55), followed by committed OPCs (12) and oligodendrocytes (11); the candidate list is dominated by the oligodendrocyte lineage. Because no candidate survives FDR correction (minimum q = 0.949), these counts describe a hypothesis-generating screen rather than validated migration events. (C) Top 10 Strong candidates (lowest multiplicative residuals), showing observed ω for each cell-type/region pair. (D) Migration candidates by cell type and confidence tier, showing tier distribution across all 10 non-neuronal cell classes.</w:t>
      </w:r>
    </w:p>
    <w:p>
      <w:pPr>
        <w:spacing w:line="276" w:lineRule="auto" w:after="80"/>
        <w:ind w:firstLine="0"/>
      </w:pPr>
      <w:r>
        <w:rPr>
          <w:rFonts w:ascii="Arial" w:hAnsi="Arial"/>
          <w:b w:val="0"/>
          <w:i w:val="0"/>
          <w:color w:val="000000"/>
          <w:sz w:val="22"/>
        </w:rPr>
        <w:t>Supplementary Figure S8.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w:t>
      </w:r>
    </w:p>
    <w:p>
      <w:pPr>
        <w:spacing w:line="276" w:lineRule="auto" w:after="80"/>
        <w:ind w:firstLine="0"/>
      </w:pPr>
      <w:r>
        <w:rPr>
          <w:rFonts w:ascii="Arial" w:hAnsi="Arial"/>
          <w:b w:val="0"/>
          <w:i w:val="0"/>
          <w:color w:val="000000"/>
          <w:sz w:val="22"/>
        </w:rPr>
        <w:t>Supplementary Figure S9.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Supplementary Figure S11. Per-pair k_n variability. (A) Per-pair k_n (mean ± SD) by cell type in the brain atlas, showing substantial cross-pair variability (CV = 92.89%). (B) Scatter plot of ω computed with per-pair k_n vs. global k_n (Spearman ρ = 0.181), demonstrating that pair-specific k_n yields substantially different rankings.</w:t>
      </w:r>
    </w:p>
    <w:p>
      <w:pPr>
        <w:spacing w:line="276" w:lineRule="auto" w:after="8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pre-specified exception: the mouse-pilot X-versus-C calibration contrast (Fig. 2D) uses a one-sided Mann-Whitney U test (H1: ω_X &gt; ω_C) because the calibration hypothesis is directional.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420" w:after="160"/>
      </w:pPr>
      <w:r>
        <w:rPr>
          <w:rFonts w:ascii="Arial" w:hAnsi="Arial"/>
          <w:color w:val="000000"/>
          <w:sz w:val="28"/>
          <w:b/>
        </w:rPr>
        <w:t>References</w:t>
      </w:r>
    </w:p>
    <w:p>
      <w:pPr>
        <w:spacing w:line="276" w:lineRule="auto" w:after="6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6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60"/>
      </w:pPr>
      <w:r>
        <w:rPr>
          <w:rFonts w:ascii="Arial" w:hAnsi="Arial"/>
          <w:color w:val="000000"/>
          <w:sz w:val="20"/>
        </w:rPr>
        <w:t>Lopez,R., Regier,J., Cole,M.B., Jordan,M.I. and Yosef,N. (2018) Deep generative modeling for single-cell transcriptomics. *Nat. Methods*, **15**, 1053–1058.</w:t>
      </w:r>
    </w:p>
    <w:p>
      <w:pPr>
        <w:spacing w:line="276" w:lineRule="auto" w:after="6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6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6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60"/>
      </w:pPr>
      <w:r>
        <w:rPr>
          <w:rFonts w:ascii="Arial" w:hAnsi="Arial"/>
          <w:color w:val="000000"/>
          <w:sz w:val="20"/>
        </w:rPr>
        <w:t>Yang,Z. (2007) PAML 4: phylogenetic analysis by maximum likelihood. *Mol. Biol. Evol.*, **24**, 1586–1591.</w:t>
      </w:r>
    </w:p>
    <w:p>
      <w:pPr>
        <w:spacing w:line="276" w:lineRule="auto" w:after="60"/>
      </w:pPr>
      <w:r>
        <w:rPr>
          <w:rFonts w:ascii="Arial" w:hAnsi="Arial"/>
          <w:color w:val="000000"/>
          <w:sz w:val="20"/>
        </w:rPr>
        <w:t>Tabula Muris Consortium (2018) Single-cell transcriptomics of 20 mouse organs creates a Tabula Muris. *Nature*, **562**, 367–372.</w:t>
      </w:r>
    </w:p>
    <w:p>
      <w:pPr>
        <w:spacing w:line="276" w:lineRule="auto" w:after="60"/>
      </w:pPr>
      <w:r>
        <w:rPr>
          <w:rFonts w:ascii="Arial" w:hAnsi="Arial"/>
          <w:color w:val="000000"/>
          <w:sz w:val="20"/>
        </w:rPr>
        <w:t>Tabula Sapiens Consortium (2022) The Tabula Sapiens: a multiple-organ, single-cell transcriptomic atlas of humans. *Science*, **376**, eabl4896.</w:t>
      </w:r>
    </w:p>
    <w:p>
      <w:pPr>
        <w:spacing w:line="276" w:lineRule="auto" w:after="60"/>
      </w:pPr>
      <w:r>
        <w:rPr>
          <w:rFonts w:ascii="Arial" w:hAnsi="Arial"/>
          <w:color w:val="000000"/>
          <w:sz w:val="20"/>
        </w:rPr>
        <w:t>Cancer Genome Atlas Research Network (2014) Comprehensive molecular profiling of lung adenocarcinoma. *Nature*, **511**, 543–550.</w:t>
      </w:r>
    </w:p>
    <w:p>
      <w:pPr>
        <w:spacing w:line="276" w:lineRule="auto" w:after="60"/>
      </w:pPr>
      <w:r>
        <w:rPr>
          <w:rFonts w:ascii="Arial" w:hAnsi="Arial"/>
          <w:color w:val="000000"/>
          <w:sz w:val="20"/>
        </w:rPr>
        <w:t>Cancer Genome Atlas Network (2012) Comprehensive molecular portraits of human breast tumours. *Nature*, **490**, 61–70.</w:t>
      </w:r>
    </w:p>
    <w:p>
      <w:pPr>
        <w:spacing w:line="276" w:lineRule="auto" w:after="6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60"/>
      </w:pPr>
      <w:r>
        <w:rPr>
          <w:rFonts w:ascii="Arial" w:hAnsi="Arial"/>
          <w:color w:val="000000"/>
          <w:sz w:val="20"/>
        </w:rPr>
        <w:t>Luecken,M.D. and Theis,F.J. (2019) Current best practices in single-cell RNA-seq analysis: a tutorial. *Mol. Syst. Biol.*, **15**, e8746.</w:t>
      </w:r>
    </w:p>
    <w:p>
      <w:pPr>
        <w:spacing w:line="276" w:lineRule="auto" w:after="60"/>
      </w:pPr>
      <w:r>
        <w:rPr>
          <w:rFonts w:ascii="Arial" w:hAnsi="Arial"/>
          <w:color w:val="000000"/>
          <w:sz w:val="20"/>
        </w:rPr>
        <w:t>Hounkpe,B.W., Chenou,F., de Lima,F. and De Paula,E.V. (2021) HRT Atlas v1.0 database: redefining human and mouse housekeeping genes and candidate reference transcripts by mining massive RNA-seq datasets. *Nucleic Acids Res.*, **49**, D947–D955.</w:t>
      </w:r>
    </w:p>
    <w:p>
      <w:pPr>
        <w:spacing w:line="276" w:lineRule="auto" w:after="60"/>
      </w:pPr>
      <w:r>
        <w:rPr>
          <w:rFonts w:ascii="Arial" w:hAnsi="Arial"/>
          <w:color w:val="000000"/>
          <w:sz w:val="20"/>
        </w:rPr>
        <w:t>Lin,J. (1991) Divergence measures based on the Shannon entropy. *IEEE Trans. Inf. Theory*, **37**, 145–151.</w:t>
      </w:r>
    </w:p>
    <w:p>
      <w:pPr>
        <w:spacing w:line="276" w:lineRule="auto" w:after="60"/>
      </w:pPr>
      <w:r>
        <w:rPr>
          <w:rFonts w:ascii="Arial" w:hAnsi="Arial"/>
          <w:color w:val="000000"/>
          <w:sz w:val="20"/>
        </w:rPr>
        <w:t>Benjamini,Y. and Hochberg,Y. (1995) Controlling the false discovery rate: a practical and powerful approach to multiple testing. *J. R. Stat. Soc. Series B Stat. Methodol.*, **57**, 289–300.</w:t>
      </w:r>
    </w:p>
    <w:p>
      <w:pPr>
        <w:spacing w:line="276" w:lineRule="auto" w:after="60"/>
      </w:pPr>
      <w:r>
        <w:rPr>
          <w:rFonts w:ascii="Arial" w:hAnsi="Arial"/>
          <w:color w:val="000000"/>
          <w:sz w:val="20"/>
        </w:rPr>
        <w:t>Wolf,F.A., Angerer,P. and Theis,F.J. (2018) SCANPY: large-scale single-cell gene expression data analysis. *Genome Biol.*, **19**, 15.</w:t>
      </w:r>
    </w:p>
    <w:p>
      <w:pPr>
        <w:spacing w:line="276" w:lineRule="auto" w:after="6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6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6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6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6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6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6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60"/>
      </w:pPr>
      <w:r>
        <w:rPr>
          <w:rFonts w:ascii="Arial" w:hAnsi="Arial"/>
          <w:color w:val="000000"/>
          <w:sz w:val="20"/>
        </w:rPr>
        <w:t>Edmondson,H.A. and Steiner,P.E. (1954) Primary carcinoma of the liver: a study of 100 cases among 48,900 necropsies. *Cancer*, **7**, 462–503.</w:t>
      </w:r>
    </w:p>
    <w:p>
      <w:pPr>
        <w:spacing w:line="276" w:lineRule="auto" w:after="60"/>
      </w:pPr>
      <w:r>
        <w:rPr>
          <w:rFonts w:ascii="Arial" w:hAnsi="Arial"/>
          <w:color w:val="000000"/>
          <w:sz w:val="20"/>
        </w:rPr>
        <w:t>Waskom,M.L. (2021) seaborn: statistical data visualization. *J. Open Source Softw.*, **6**, 3021.</w:t>
      </w:r>
    </w:p>
    <w:p>
      <w:pPr>
        <w:spacing w:line="276" w:lineRule="auto" w:after="60"/>
      </w:pPr>
      <w:r>
        <w:rPr>
          <w:rFonts w:ascii="Arial" w:hAnsi="Arial"/>
          <w:color w:val="000000"/>
          <w:sz w:val="20"/>
        </w:rPr>
        <w:t>Pedregosa,F., Varoquaux,G., Gramfort,A., Michel,V., Thirion,B., Grisel,O., Blondel,M., Prettenhofer,P., Weiss,R., Dubourg,V. et al. (2011) Scikit-learn: machine learning in Python. *J. Mach. Learn. Res.*, **12**, 2825–2830.</w:t>
      </w:r>
    </w:p>
    <w:p>
      <w:pPr>
        <w:spacing w:line="276" w:lineRule="auto" w:after="60"/>
      </w:pPr>
      <w:r>
        <w:rPr>
          <w:rFonts w:ascii="Arial" w:hAnsi="Arial"/>
          <w:color w:val="000000"/>
          <w:sz w:val="20"/>
        </w:rPr>
        <w:t>Efron,B. and Tibshirani,R.J. (1994) An Introduction to the Bootstrap. Chapman and Hall/CRC, New York.</w:t>
      </w:r>
    </w:p>
    <w:p>
      <w:pPr>
        <w:spacing w:line="276" w:lineRule="auto" w:after="6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6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6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60"/>
      </w:pPr>
      <w:r>
        <w:rPr>
          <w:rFonts w:ascii="Arial" w:hAnsi="Arial"/>
          <w:color w:val="000000"/>
          <w:sz w:val="20"/>
        </w:rPr>
        <w:t>Tan,Y.L., Yuan,Y. and Tian,L. (2020) Microglial regional heterogeneity and its role in the brain. *Mol. Psychiatry*, **25**, 351–367.</w:t>
      </w:r>
    </w:p>
    <w:p>
      <w:pPr>
        <w:spacing w:line="276" w:lineRule="auto" w:after="60"/>
      </w:pPr>
      <w:r>
        <w:rPr>
          <w:rFonts w:ascii="Arial" w:hAnsi="Arial"/>
          <w:color w:val="000000"/>
          <w:sz w:val="20"/>
        </w:rPr>
        <w:t>Shemer,A. and Jung,S. (2024) The molecular determinants of microglial developmental colonization. *Nat. Rev. Neurosci.*, **25**, 414–427.</w:t>
      </w:r>
    </w:p>
    <w:p>
      <w:pPr>
        <w:spacing w:line="276" w:lineRule="auto" w:after="6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6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6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6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6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60"/>
      </w:pPr>
      <w:r>
        <w:rPr>
          <w:rFonts w:ascii="Arial" w:hAnsi="Arial"/>
          <w:color w:val="000000"/>
          <w:sz w:val="20"/>
        </w:rPr>
        <w:t>Reeber,S.L., Arancillo,M. and Sillitoe,R.V. (2015) Bergmann glia are patterned into topographic molecular zones in the cerebellum. *Cerebellum*, **14**, 392–403.</w:t>
      </w:r>
    </w:p>
    <w:p>
      <w:pPr>
        <w:spacing w:line="276" w:lineRule="auto" w:after="6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6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6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6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60"/>
      </w:pPr>
      <w:r>
        <w:rPr>
          <w:rFonts w:ascii="Arial" w:hAnsi="Arial"/>
          <w:color w:val="000000"/>
          <w:sz w:val="20"/>
        </w:rPr>
        <w:t>Bakken,T.E., Jorstad,N.L., Hu,Q., Lake,B.B., Tian,W., Kalmbach,B.E., Crow,M., Hodge,R.D., Krienen,F.M., Sorensen,S.A. et al. (2021) Comparative cellular analysis of motor cortex in human, marmoset and mouse. *Nature*, **598**, 111–119.</w:t>
      </w:r>
    </w:p>
    <w:p>
      <w:pPr>
        <w:spacing w:line="276" w:lineRule="auto" w:after="60"/>
      </w:pPr>
      <w:r>
        <w:rPr>
          <w:rFonts w:ascii="Arial" w:hAnsi="Arial"/>
          <w:color w:val="000000"/>
          <w:sz w:val="20"/>
        </w:rPr>
        <w:t>Butte,A.J., Dzau,V.J. and Glueck,S.B. (2001) Further defining housekeeping, or maintenance, genes: focus on A compendium of gene expression in normal human tissues. *Physiol. Genomics*, **7**, 95-96.</w:t>
      </w:r>
    </w:p>
    <w:p>
      <w:pPr>
        <w:spacing w:line="276" w:lineRule="auto" w:after="6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60"/>
      </w:pPr>
      <w:r>
        <w:rPr>
          <w:rFonts w:ascii="Arial" w:hAnsi="Arial"/>
          <w:color w:val="000000"/>
          <w:sz w:val="20"/>
        </w:rPr>
        <w:t>Liberzon,A., Birger,C., Thorvaldsdóttir,H., Ghandi,M., Mesirov,J.P. and Tamayo,P. (2015) The Molecular Signatures Database Hallmark Gene Set Collection. *Cell Syst.*, **1**, 417–425.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