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July 24,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(neutral offset rate, from housekeeping gene expression) and k_f (functional conversion rate, from identity gene expression). The ratio ω = k_f/k_n provides a robust, interpretable measure of selective transcriptomic remodeling. As a new computational method with rigorous validation across multiple datasets, we believe CKI aligns well with Nucleic Acids Research’s scope in methods development and genomic analysis.</w:t>
      </w:r>
    </w:p>
    <w:p>
      <w:pPr>
        <w:spacing w:line="276" w:lineRule="auto" w:after="120" w:before="0"/>
      </w:pPr>
      <w:r>
        <w:t>We validated CKI ω across three dimensions: (1) orthogonal information—CKI ω captures an independent information dimension, showing negative correlation with all four standard distance metrics (Spearman r = −0.57 to −0.38, all P &lt; 0.001), proving it measures something fundamentally different from Cosine similarity, JS divergence, and other existing approaches; (2) cross-species consistency—mouse orthologs show strong correlation with human CKI ω, confirming evolutionary conservation; and (3) two biological applications—pan-cancer analysis revealing that tumors are more transcriptionally homogeneous than normal tissues (median NN/TT ratio 1.40–2.83), and brain regional analysis identifying 30 cell-type-specific developmental origin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