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Materials</w:t>
      </w:r>
    </w:p>
    <w:p>
      <w:r>
        <w:rPr>
          <w:rFonts w:ascii="Arial" w:hAnsi="Arial"/>
          <w:b w:val="0"/>
          <w:color w:val="000000"/>
          <w:sz w:val="22"/>
        </w:rPr>
        <w:t>CKI: A Cell-state Kinetic Index for Quantifying Baseline-Normalized Transcriptomic Remodeling</w:t>
      </w:r>
    </w:p>
    <w:p>
      <w:r>
        <w:rPr>
          <w:rFonts w:ascii="Arial" w:hAnsi="Arial"/>
          <w:b w:val="0"/>
          <w:color w:val="000000"/>
          <w:sz w:val="22"/>
        </w:rPr>
        <w:t>Li Zhang</w:t>
      </w:r>
    </w:p>
    <w:p>
      <w:r>
        <w:rPr>
          <w:rFonts w:ascii="Arial" w:hAnsi="Arial"/>
          <w:b w:val="0"/>
          <w:color w:val="000000"/>
          <w:sz w:val="22"/>
        </w:rPr>
      </w:r>
    </w:p>
    <w:p>
      <w:pPr>
        <w:pStyle w:val="Heading2"/>
      </w:pPr>
      <w:r>
        <w:t>Table of Contents</w:t>
      </w:r>
    </w:p>
    <w:p>
      <w:r>
        <w:rPr>
          <w:rFonts w:ascii="Arial" w:hAnsi="Arial"/>
          <w:b w:val="0"/>
          <w:color w:val="000000"/>
          <w:sz w:val="22"/>
        </w:rPr>
        <w:t>Supplementary Note 1: CKI Mathematical Derivation</w:t>
      </w:r>
    </w:p>
    <w:p>
      <w:r>
        <w:rPr>
          <w:rFonts w:ascii="Arial" w:hAnsi="Arial"/>
          <w:b w:val="0"/>
          <w:color w:val="000000"/>
          <w:sz w:val="22"/>
        </w:rPr>
        <w:t>Supplementary Note 2: CKI Algorithm Pseudocode</w:t>
      </w:r>
    </w:p>
    <w:p>
      <w:r>
        <w:rPr>
          <w:rFonts w:ascii="Arial" w:hAnsi="Arial"/>
          <w:b w:val="0"/>
          <w:color w:val="000000"/>
          <w:sz w:val="22"/>
        </w:rPr>
        <w:t>Supplementary Note 3: Statistical Testing Details</w:t>
      </w:r>
    </w:p>
    <w:p>
      <w:r>
        <w:rPr>
          <w:rFonts w:ascii="Arial" w:hAnsi="Arial"/>
          <w:b w:val="0"/>
          <w:color w:val="000000"/>
          <w:sz w:val="22"/>
        </w:rPr>
        <w:t>Supplementary Note 4: Dataset Quality Control and Filtering Criteria</w:t>
      </w:r>
    </w:p>
    <w:p>
      <w:r>
        <w:rPr>
          <w:rFonts w:ascii="Arial" w:hAnsi="Arial"/>
          <w:b w:val="0"/>
          <w:color w:val="000000"/>
          <w:sz w:val="22"/>
        </w:rPr>
        <w:t>Supplementary Table 1: Parameter Sweep Results (Phase 3.2)</w:t>
      </w:r>
    </w:p>
    <w:p>
      <w:r>
        <w:rPr>
          <w:rFonts w:ascii="Arial" w:hAnsi="Arial"/>
          <w:b w:val="0"/>
          <w:color w:val="000000"/>
          <w:sz w:val="22"/>
        </w:rPr>
        <w:t>Supplementary Table 2: Cross-Organ Conservation Data (Phase 3.5)</w:t>
      </w:r>
    </w:p>
    <w:p>
      <w:r>
        <w:rPr>
          <w:rFonts w:ascii="Arial" w:hAnsi="Arial"/>
          <w:b w:val="0"/>
          <w:color w:val="000000"/>
          <w:sz w:val="22"/>
        </w:rPr>
        <w:t>Supplementary Table 3: Human Brain Non-neuronal Cell Regional CKI Data</w:t>
      </w:r>
    </w:p>
    <w:p>
      <w:r>
        <w:rPr>
          <w:rFonts w:ascii="Arial" w:hAnsi="Arial"/>
          <w:b w:val="0"/>
          <w:color w:val="000000"/>
          <w:sz w:val="22"/>
        </w:rPr>
        <w:t>Supplementary Table 4: Inter-regional Cell Migration Candidate Data</w:t>
      </w:r>
    </w:p>
    <w:p>
      <w:r>
        <w:rPr>
          <w:rFonts w:ascii="Arial" w:hAnsi="Arial"/>
          <w:b w:val="0"/>
          <w:color w:val="000000"/>
          <w:sz w:val="22"/>
        </w:rPr>
        <w:t>Supplementary Data 1: Complete Analysis Script Index</w:t>
      </w:r>
    </w:p>
    <w:p>
      <w:r>
        <w:br w:type="page"/>
      </w:r>
    </w:p>
    <w:p>
      <w:pPr>
        <w:pStyle w:val="Heading2"/>
      </w:pPr>
      <w:r>
        <w:t>Supplementary Note 1: 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omega: when both k_n and k_f approach 1, omega = k_f/k_n may still vary, and a small floor value (1e-4) is applied to k_n to prevent inflated omega from near-zero denominators. Before computing JS divergence, both pseudobulk vectors are normalized to probability distributions via softmax normalization (p_i = exp(x_i)/Σexp(x_j)).</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softmax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(13).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omega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0.847); this was therefore adopted as the default scheme.</w:t>
      </w:r>
    </w:p>
    <w:p>
      <w:r>
        <w:rPr>
          <w:rFonts w:ascii="Arial" w:hAnsi="Arial"/>
          <w:b/>
          <w:color w:val="000000"/>
          <w:sz w:val="22"/>
        </w:rPr>
        <w:t>1.4 Omega Ratio and Its Interpretation</w:t>
      </w:r>
    </w:p>
    <w:p>
      <w:r>
        <w:rPr>
          <w:rFonts w:ascii="Arial" w:hAnsi="Arial"/>
          <w:b w:val="0"/>
          <w:color w:val="000000"/>
          <w:sz w:val="22"/>
        </w:rPr>
        <w:t>omega = k_f/k_n. Interpretation follows a Ka/Ks analogy: omega ~ 1: the observed transcriptomic difference is consistent with baseline expectation, with no evidence of functional reprogramming; omega &gt;&gt; 1: functional divergence exceeds baseline drift, indicating evidence of functional transcriptional reprogramming beyond baseline; omega &lt;&lt; 1: functional constraint, the two groups are more similar in functional genes than expected from baseline drift (rare in practice). The Ka/Ks analogy is structurally similar but mathematically non-equivalent.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bootstrap inference.</w:t>
      </w:r>
    </w:p>
    <w:p>
      <w:r>
        <w:rPr>
          <w:rFonts w:ascii="Arial" w:hAnsi="Arial"/>
          <w:b/>
          <w:color w:val="000000"/>
          <w:sz w:val="22"/>
        </w:rPr>
        <w:t>1.5 Bootstrap Permutation Test</w:t>
      </w:r>
    </w:p>
    <w:p>
      <w:r>
        <w:rPr>
          <w:rFonts w:ascii="Arial" w:hAnsi="Arial"/>
          <w:b w:val="0"/>
          <w:color w:val="000000"/>
          <w:sz w:val="22"/>
        </w:rPr>
        <w:t>Statistical inference is performed by generating a null distribution of omega under the null hypothesis that the two cell populations are drawn from the same distribution. Procedure: (1) Annotate all cells in the pooled dataset with their original group labels (A or B); (2) Randomly permute labels B times (default B=1,000 for all datasets (mouse, human, TCGA, and brain atlas), recomputing pseudobulk vectors and omega_null each time; (3) Empirical P-value (one-sided): P = (count(ω_null ≥ ω_obs) + 1)/(B + 1), with the +1 term avoiding P = 0; (4) Effect size: SES = (omega_obs - mean(omega_null))/sd(omega_null). Benjamini-Hochberg FDR correction is applied within each dataset to control the false discovery rate. Test critical values at alpha=0.05 are derived from the permutation null distribution (2.5th and 97.5th percentiles). Note: these are permutation-based test critical values for rejecting H0, NOT confidence intervals for omega itself. Bootstrap permutation testing was performed for all four datasets: mouse pilot (15 cell-type pairs, B=1,000), human Tabula Sapiens (B=1,000), TCGA (B=1,000), and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10 cells per group. For TCGA bulk RNA-seq data, TPM normalization is used instead: TPM values from UCSC Xena, followed by log2(TPM + 1) transformation. No pseudobulk step is needed as each sample is already a bulk expression profile.</w:t>
      </w:r>
    </w:p>
    <w:p>
      <w:r>
        <w:br w:type="page"/>
      </w:r>
    </w:p>
    <w:p>
      <w:pPr>
        <w:pStyle w:val="Heading2"/>
      </w:pPr>
      <w:r>
        <w:t>Supplementary Note 2: 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omega, P-value, SES,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JS_divergence(softmax(mu_A_H), softmax(mu_B_H))</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JS_divergence(softmax(mu_A_I), softmax(mu_B_I))</w:t>
      </w:r>
    </w:p>
    <w:p>
      <w:pPr>
        <w:spacing w:after="20" w:before="0"/>
      </w:pPr>
      <w:r>
        <w:rPr>
          <w:rFonts w:ascii="Arial" w:hAnsi="Arial"/>
          <w:b w:val="0"/>
          <w:color w:val="000000"/>
          <w:sz w:val="22"/>
        </w:rPr>
        <w:t xml:space="preserve"> 7. if k_n &lt; 1e-4: k_n &lt;- 1e-4  // floor to prevent inflated omega</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w:t>
      </w:r>
    </w:p>
    <w:p>
      <w:pPr>
        <w:spacing w:after="20" w:before="0"/>
      </w:pPr>
      <w:r>
        <w:rPr>
          <w:rFonts w:ascii="Arial" w:hAnsi="Arial"/>
          <w:b w:val="0"/>
          <w:color w:val="000000"/>
          <w:sz w:val="22"/>
        </w:rPr>
        <w:t>14.     mu_perm2 &lt;- mean(pooled[labels_perm[n_A:]], axis=0)</w:t>
      </w:r>
    </w:p>
    <w:p>
      <w:pPr>
        <w:spacing w:after="20" w:before="0"/>
      </w:pPr>
      <w:r>
        <w:rPr>
          <w:rFonts w:ascii="Arial" w:hAnsi="Arial"/>
          <w:b w:val="0"/>
          <w:color w:val="000000"/>
          <w:sz w:val="22"/>
        </w:rPr>
        <w:t>15.     omega_null[b] &lt;- CKI_core(mu_perm1, mu_perm2, H, I)</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JS(softmax(mu_A[I]), softmax(mu_B[I]))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Supplementary Note 3: 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Bootstrap permutation test (B=1,000) for CKI omega significance inference; ROC-AUC for cell type classification performance assessment.</w:t>
      </w:r>
    </w:p>
    <w:p>
      <w:r>
        <w:rPr>
          <w:rFonts w:ascii="Arial" w:hAnsi="Arial"/>
          <w:b/>
          <w:color w:val="000000"/>
          <w:sz w:val="22"/>
        </w:rPr>
        <w:t>3.2 Bootstrap Details</w:t>
      </w:r>
    </w:p>
    <w:p>
      <w:r>
        <w:rPr>
          <w:rFonts w:ascii="Arial" w:hAnsi="Arial"/>
          <w:b w:val="0"/>
          <w:color w:val="000000"/>
          <w:sz w:val="22"/>
        </w:rPr>
        <w:t>Bootstrap iterations: B=1,000 for all datasets (mouse pilot study with 15 cell-type pairs, human Tabula Sapiens via script 08b, TCGA via script 08a, and brain atlas via script 08c). Bootstrap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 In all CKI results, standardized effect sizes are typically &gt; 1.0 for biologically meaningful comparisons, indicating large effects relative to the null distribution.</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median was computed; the 2.5th and 97.5th percentiles of the resulting distribution define the 95% CI. Confidence interval widths scale inversely with the number of contributing pairs: well-sampled cell types (e.g., astrocytes, 5,778 pairs) yield narrow intervals ([14.14, 14.58]), whereas cell types with fewer comparisons (e.g., Bergmann glia, 21 pairs) produce wider intervals ([1.95, 2.90]).</w:t>
      </w:r>
    </w:p>
    <w:p>
      <w:r>
        <w:rPr>
          <w:rFonts w:ascii="Arial" w:hAnsi="Arial"/>
          <w:b/>
          <w:color w:val="000000"/>
          <w:sz w:val="22"/>
        </w:rPr>
        <w:t>3.3 Multiple Testing Correction</w:t>
      </w:r>
    </w:p>
    <w:p>
      <w:r>
        <w:rPr>
          <w:rFonts w:ascii="Arial" w:hAnsi="Arial"/>
          <w:b w:val="0"/>
          <w:color w:val="000000"/>
          <w:sz w:val="22"/>
        </w:rPr>
        <w:t>Bootstrap permutation testing was performed for all four datasets with B=1,000: mouse pilot (15 cell-type pairs), human Tabula Sapiens, TCGA, and brain atlas. Benjamini-Hochberg FDR correction is applied within each dataset to control the false discovery rate. For the larger-scale analyses (Tabula Sapiens: 5,151 pairs; brain atlas: 31,764 pairs; TCGA pan-cancer), bootstrap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 For the brain atlas analysis, 31,764 cross-region comparisons yielded 30 Strong candidates (residual &lt; 0.3). Per-signal empirical P-values were computed via permutation testing (B = 10,000); however, 36.3% of signals (11,541/31,764) reached the empirical P-value floor (P = 9.99 × 10⁻⁵), precluding meaningful Benjamini-Hochberg FDR correction. We therefore report unadjusted permutation P-values and interpret significance descriptively: 16 of 30 Strong-tier candidates reached the P-value floor (no null permutation exceeded the observed residual in 10,000 shuffles), while 14 signals showed no evidence of departure (all P ≥ 0.76).</w:t>
      </w:r>
    </w:p>
    <w:p>
      <w:r>
        <w:rPr>
          <w:rFonts w:ascii="Arial" w:hAnsi="Arial"/>
          <w:b w:val="0"/>
          <w:color w:val="000000"/>
          <w:sz w:val="22"/>
        </w:rPr>
        <w:t>Permutation-based validation of the multiplicative residual model was performed using B = 10,000 permutations. For each of the 31,764 brain region pairs, cell type labels were randomly shuffled within region pairs to construct a null distribution of residuals. Per-signal empirical P-values were computed as P = (count(null_residual ≤ observed_residual) + 1) / (B + 1). Of the 31,764 signals, 11,541 (36.3%) reached the empirical P-value floor (P = 9.99 × 10⁻⁵) of the B = 10,000 permutation test, precluding meaningful Benjamini-Hochberg FDR correction. We therefore interpret the permutation results descriptively: among the 30 Strong-tier candidates, 16 signals (6 astrocytes, 10 oligodendrocytes) reached the P-value floor, indicating strong evidence of deviation from the multiplicative null model, while 14 signals (10 microglia, 1 fibroblast, 3 vascular) showed no evidence of departure (P ≥ 0.76). Per-signal tests are not independent (the same cell type or region pair appears in multiple comparisons); we restrict biological interpretation to the 30 predefined Strong candidates. (Supplementary Figure S8: ω distribution characterization; Supplementary Figure S9: residual null distribution.)</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non-bootstrap tests are two-sided; bootstrap permutation P-values are one-sided (see SN 1.5). Correlation coefficients (Spearman rho) are reported with P-values. Effect sizes (standardized effect size, SES = (ω_obs − μ_null) / σ_null) are reported as descriptive measures of magnitude; because the ω distribution is right-skewed and non-normal (Shapiro-Wilk and D’Agostino-Pearson tests reject normality at P &lt; 0.001 for all datasets), SES should be interpreted as a non-parametric descriptive statistic rather than a parametric test result.</w:t>
      </w:r>
    </w:p>
    <w:p>
      <w:r>
        <w:rPr>
          <w:rFonts w:ascii="Arial" w:hAnsi="Arial"/>
          <w:b/>
          <w:color w:val="000000"/>
          <w:sz w:val="22"/>
        </w:rPr>
        <w:t>3.5 Calibrated Omega Normalization</w:t>
      </w:r>
    </w:p>
    <w:p>
      <w:r>
        <w:rPr>
          <w:rFonts w:ascii="Arial" w:hAnsi="Arial"/>
          <w:b w:val="0"/>
          <w:color w:val="000000"/>
          <w:sz w:val="22"/>
        </w:rPr>
        <w:t>The theoretical baseline omega = 1 (k_f = k_n) is never observed in practice because highly variable gene (HVG) selection systematically inflates k_f relative to k_n. Empirical calibration on split-half equivalent populations (mouse, n = 6) yielded a mean omega = 6.67. We introduce calibrated omega: omega_cal = omega_obs / 6.67, which rescales all values so that equivalent populations yield omega_cal ~ 1.0. Under this calibration: mouse controls yield omega_cal = 1.00, brain global mean becomes omega_cal = 1.20 (raw 8.01), and the most divergent brain cell type (astrocytes) yields omega_cal = 2.15 (raw 14.36). Cell types with omega_cal &lt; 1 (e.g., Bergmann glia, omega_cal = 0.36) are more transcriptionally constrained between brain regions than the empirical baseline. The calibrate_omega() function is available in the CKI package (cki.calibrate_omega). Both raw and calibrated omega values are reported in all key results. (Supplementary Figure S12.)</w:t>
      </w:r>
    </w:p>
    <w:p>
      <w:r>
        <w:rPr>
          <w:rFonts w:ascii="Arial" w:hAnsi="Arial"/>
          <w:b/>
          <w:color w:val="000000"/>
          <w:sz w:val="22"/>
        </w:rPr>
        <w:t>3.6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(omega = 6.67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omega (omega_cal = omega / 6.67) absorbs this bias into the empirical baseline, and the permutation null distribution - constructed using the same gene sets as the observed data - ensures internal consistency. (Supplementary Figure S10.)</w:t>
      </w:r>
    </w:p>
    <w:p>
      <w:r>
        <w:rPr>
          <w:rFonts w:ascii="Arial" w:hAnsi="Arial"/>
          <w:b/>
          <w:color w:val="000000"/>
          <w:sz w:val="22"/>
        </w:rPr>
        <w:t>3.7 Pair-Specific k_n Variability</w:t>
      </w:r>
    </w:p>
    <w:p>
      <w:r>
        <w:rPr>
          <w:rFonts w:ascii="Arial" w:hAnsi="Arial"/>
          <w:b w:val="0"/>
          <w:color w:val="000000"/>
          <w:sz w:val="22"/>
        </w:rPr>
        <w:t>In the hybrid scheme used for human and TCGA analyses, k_n is computed once globally (constant across all pairs), which reduces omega to a scaled k_f ranking. For the brain analysis, k_n was computed per-pair to capture region-specific baseline variation. Analysis of per-pair k_n across 31,764 brain comparisons revealed substantial cross-pair variability: overall k_n CV = 97.35% (mean = 0.0141, median = 0.0086), with per-cell-type CVs ranging from 37.6% (committed oligodendrocyte precursors) to 81.4% (oligodendrocytes). The Spearman correlation between omega computed with per-pair k_n and omega computed with global k_n was only rho = -0.027 (P = 9.96 x 10^-7), confirming that pair-specific k_n yields substantially different omega rankings than the global-kn simplification. This justifies the per-pair k_n approach used for the brain analysis and highlights a limitation of the hybrid scheme used for human/TCGA data. (Supplementary Figure S11.)</w:t>
      </w:r>
    </w:p>
    <w:p>
      <w:r>
        <w:rPr>
          <w:rFonts w:ascii="Arial" w:hAnsi="Arial"/>
          <w:b/>
          <w:color w:val="000000"/>
          <w:sz w:val="22"/>
        </w:rPr>
        <w:t>3.8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omega)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3.9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omega estimates unreliable. We recommend interpreting rankings of cell types with n &lt; 5 as suggestive only. Bootstrap 95% confidence intervals for cell types with n &gt;= 5 are provided in Supplementary Table S2. The Spearman correlations between CKI omega and standard metrics are reported with bootstrap 95% CIs (B = 10,000 resamples).</w:t>
      </w:r>
    </w:p>
    <w:p>
      <w:r>
        <w:rPr>
          <w:rFonts w:ascii="Arial" w:hAnsi="Arial"/>
          <w:b/>
          <w:color w:val="000000"/>
          <w:sz w:val="22"/>
        </w:rPr>
        <w:t>3.10 One-Sided Permutation Test Justification</w:t>
      </w:r>
    </w:p>
    <w:p>
      <w:r>
        <w:rPr>
          <w:rFonts w:ascii="Arial" w:hAnsi="Arial"/>
          <w:b w:val="0"/>
          <w:color w:val="000000"/>
          <w:sz w:val="22"/>
        </w:rPr>
        <w:t>All bootstrap P-values use a one-sided test: P = (count(omega_null &gt;= omega_obs) + 1)/(B + 1). The one-sided formulation is appropriate because our hypothesis is directional: we test whether observed omega exceeds the null expectation (equivalent populations), not whether it differs in either direction. A two-sided test would be appropriate if we were testing for any departure from the null (either elevated or suppressed omega). However, the biological questions addressed here (functional divergence exceeding baseline, Strong migration candidates showing anomalously low omega) are inherently directional.</w:t>
      </w:r>
    </w:p>
    <w:p>
      <w:r>
        <w:rPr>
          <w:rFonts w:ascii="Arial" w:hAnsi="Arial"/>
          <w:b/>
          <w:color w:val="000000"/>
          <w:sz w:val="22"/>
        </w:rPr>
        <w:t>3.11 Parameter Justification</w:t>
      </w:r>
    </w:p>
    <w:p>
      <w:r>
        <w:rPr>
          <w:rFonts w:ascii="Arial" w:hAnsi="Arial"/>
          <w:b w:val="0"/>
          <w:color w:val="000000"/>
          <w:sz w:val="22"/>
        </w:rPr>
        <w:t>Key CKI parameters and their rationale: (1) Softmax normalization: converts expression vectors to probability distributions for JS divergence computation; the softmax function is a standard choice that preserves relative magnitude information while ensuring non-negativity and sum-to-one. (2) Pseudocount epsilon = 1e-9: added to avoid log(0) in JS divergence; the value is small enough to not affect results materially but large enough to prevent numerical instability. (3) Top-200 DE genes for k_f (mouse): selected per pair to adaptively capture the most informative identity genes; the parameter sweep (Phase 3.2) tested N_HVG in {500, 1000, 2000, 3000, 5000} and found 2000 optimal for AUC. (4) HVG count of 2,000 (human/brain): standard Scanpy default; Seurat flavor used for consistency with the Scanpy ecosystem. (5) Log-base 2 for JS divergence: standard choice giving JS range [0, 1]; the base does not affect omega = k_f/k_n since it cancels in the ratio. (6) B = 1,000 for bootstrap: justified by adaptive permutation analysis showing minimum P = 9.99 × 10⁻⁴ (= 1/(B+1) = 1/1001) is well below BH thresholds for cell-type-level tests (Phase B).</w:t>
      </w:r>
    </w:p>
    <w:p>
      <w:r>
        <w:br w:type="page"/>
      </w:r>
    </w:p>
    <w:p>
      <w:pPr>
        <w:pStyle w:val="Heading2"/>
      </w:pPr>
      <w:r>
        <w:t>Supplementary Note 4: 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32 cell type entries with &gt;= 10 cells per group were retained for pseudobulk construction, spanning 6 organs (Liver, Kidney, Spleen, Lung, Heart, Bone Marrow).</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omega analysis were required to have &gt;= 10 cells in at least one donor.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(495 tumor + 76 normal), LUSC (567 + 58), LIHC (365 + 57), KIRC (755 + 82), BRCA (1,032 + 109), totaling n = 3,596 samples.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parameter sweep (Phase 3.2) tested N_HVG in {50, 100, 200, 500, 1,000, 2,000}. The global scheme (mouse) achieved peak AUC at N=2,000, while the pairwise scheme (human) used N=200 to maintain discriminative power with computational efficiency.</w:t>
      </w:r>
    </w:p>
    <w:p>
      <w:r>
        <w:br w:type="page"/>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0.847). Data file: results/phase32_sweep_results.csv. Visualization: results/phase32_sweep_barplot.png.</w:t>
      </w:r>
    </w:p>
    <w:p>
      <w:r>
        <w:rPr>
          <w:rFonts w:ascii="Arial" w:hAnsi="Arial"/>
          <w:b w:val="0"/>
          <w:color w:val="000000"/>
          <w:sz w:val="22"/>
        </w:rPr>
      </w:r>
    </w:p>
    <w:p>
      <w:pPr>
        <w:pStyle w:val="Heading2"/>
      </w:pPr>
      <w:r>
        <w:t>Supplementary Table 2: Cross-Organ Conservation Data</w:t>
      </w:r>
    </w:p>
    <w:p>
      <w:r>
        <w:rPr>
          <w:rFonts w:ascii="Arial" w:hAnsi="Arial"/>
          <w:b w:val="0"/>
          <w:color w:val="000000"/>
          <w:sz w:val="22"/>
        </w:rPr>
        <w:t>Complete dataset of 59 same-cell-type cross-organ pairs in Tabula Sapiens, including omega,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Supplementary Table 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888,263 nuclei, 108 regions, 59,480 genes). Summary statistics for each cell type (omega mean, median, SD, range, k_n and k_f components) are provided in Supplementary Table 3. Raw data file: results/brain_siletti_omega_pairs_v3.csv (31,764 rows). Summary file: results/brain_siletti_ct_summary_v3.csv (10-row summary). Analysis script: notebooks/07c_brain_siletti_v3.py. Figure generation: notebooks/30_nar_figures_fixed_v2.py (Figure 6).</w:t>
      </w:r>
    </w:p>
    <w:p>
      <w:r>
        <w:rPr>
          <w:rFonts w:ascii="Arial" w:hAnsi="Arial"/>
          <w:b w:val="0"/>
          <w:color w:val="000000"/>
          <w:sz w:val="22"/>
        </w:rPr>
      </w:r>
    </w:p>
    <w:p>
      <w:pPr>
        <w:pStyle w:val="Heading2"/>
      </w:pPr>
      <w:r>
        <w:t>Supplementary Table 4: Inter-regional Cell Migration Candidate Data</w:t>
      </w:r>
    </w:p>
    <w:p>
      <w:r>
        <w:rPr>
          <w:rFonts w:ascii="Arial" w:hAnsi="Arial"/>
          <w:b w:val="0"/>
          <w:color w:val="000000"/>
          <w:sz w:val="22"/>
        </w:rPr>
        <w:t>Results of multiplicative model-based detection of potential inter-regional cell migration candidates. Of the 31,764 total pairwise cross-region comparisons, 7,842 pairs (24.7%) were classified as migration candidates (residual &lt; 0.75): 30 strong signals (residual &lt; 0.3, 0.09%), 1,247 moderate signals (residual &lt; 0.5, 3.93%), and 6,567 weak signals (residual &lt; 0.75, 20.67%). Top-5 strongest migration signals by cell type (ranked by residual): 1) Astrocyte Human VLN vs. Human VPL (omega = 2.51, residual = 0.202), 2) Oligodendrocyte Human A19 vs. Human Pul (omega = 3.71, residual = 0.237), 3) Oligodendrocyte Human A32 vs. Human Pul (omega = 4.68, residual = 0.240), 4) Microglia Human DTg vs. Human TF (omega = 3.36, residual = 0.246), 5) Oligodendrocyte Human MoRF-MoEN vs. Human PnRF (omega = 2.52, residual = 0.249). Complete candidate dataset: results/brain_siletti_migration_candidates_v3.csv (7,842 rows). Analysis script: notebooks/07c_brain_siletti_v3.py.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notebooks/07c_brain_siletti_v3.py (brain regional CKI analysis and migration candidate detection), and notebooks/30_nar_figures_fixed_v2.py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