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among 31,764 comparisons. CKI provides a principled framework for quantifying functional transcriptomic divergence relative to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(16), where donor-level and batch-level variation often dominates over cell-type identity. Methods such as Harmony (1), scVI (2), and SATURN (3) have been developed specifically to remove such nuisance variation (32). However,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(31).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6.67). Second, we extended CKI to Tabula Sapiens human data (6) and found that CKI ω is negatively correlated with all four standard distance metrics, demonstrating that it captures an independent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(30).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Dimensionality invariance of JS divergence</w:t>
      </w:r>
    </w:p>
    <w:p>
      <w:pPr>
        <w:spacing w:line="276" w:lineRule="auto" w:after="6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(24).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6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60%),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~60% limits the power of such tests and the precision of the calibration factor (ω_cal = ω / 6.67).</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6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(36).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correlates with developmental origin signatures across brain regions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Permutation testing (B = 10,000) revealed that 16 of 30 Strong signals reached the permutation P-value floor (P = 9.99 × 10⁻⁵, i.e., no permutation out of 10,000 produced a residual as extreme as observed): all 6 astrocyte and all 10 oligodendrocyte signals. The remaining 14 signals (10 microglia, 1 fibroblast, 3 vascular) showed no evidence of deviation from the multiplicative null model (all P ≥ 0.76). Given the large number of tests (m = 31,764) and P-value floor saturation (36.3% of signals at P = 9.99 × 10⁻⁵), formal FDR correction is not applicable; the 16 floor-reaching signals are interpreted as descriptive evidence of residual deviation from the multiplicative null, not as FDR-controlled discoveries. This indicates that the astrocyte and oligodendrocyte signals reflect robust biological patterns, whereas the microglia, fibroblast, and vascular signals may represent stochastic variation within the threshold criteria.</w:t>
      </w:r>
    </w:p>
    <w:p>
      <w:pPr>
        <w:pStyle w:val="Heading3"/>
        <w:spacing w:before="240" w:after="120"/>
      </w:pPr>
      <w:r>
        <w:rPr>
          <w:rFonts w:ascii="Arial" w:hAnsi="Arial"/>
          <w:color w:val="000000"/>
          <w:sz w:val="24"/>
          <w:b/>
        </w:rPr>
        <w:t>OPCs: internal consistency check</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useful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(19).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exploratory colonization wave hypotheses (not statistically significant)</w:t>
      </w:r>
    </w:p>
    <w:p>
      <w:pPr>
        <w:spacing w:line="276" w:lineRule="auto" w:after="60"/>
        <w:ind w:firstLine="0"/>
      </w:pPr>
      <w:r>
        <w:rPr>
          <w:rFonts w:ascii="Arial" w:hAnsi="Arial"/>
          <w:b w:val="0"/>
          <w:i w:val="0"/>
          <w:color w:val="000000"/>
          <w:sz w:val="22"/>
        </w:rPr>
        <w:t>Microglia contributed 10 Strong signals by the threshold criteria; however, permutation testing revealed that none reached statistical significance (all P ≥ 0.76).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(37)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(20). Barry-Carroll et al. (40)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240" w:after="120"/>
      </w:pPr>
      <w:r>
        <w:rPr>
          <w:rFonts w:ascii="Arial" w:hAnsi="Arial"/>
          <w:color w:val="000000"/>
          <w:sz w:val="24"/>
          <w:b/>
        </w:rPr>
        <w:t>Fibroblast: exploratory postnatal migration signal</w:t>
      </w:r>
    </w:p>
    <w:p>
      <w:pPr>
        <w:spacing w:line="276" w:lineRule="auto" w:after="60"/>
        <w:ind w:firstLine="0"/>
      </w:pPr>
      <w:r>
        <w:rPr>
          <w:rFonts w:ascii="Arial" w:hAnsi="Arial"/>
          <w:b w:val="0"/>
          <w:i w:val="0"/>
          <w:color w:val="000000"/>
          <w:sz w:val="22"/>
        </w:rPr>
        <w:t>Perivascular fibroblasts contributed 1 Strong signal by threshold criteria (A40 vs. SN, residual = 0.299), but this signal did not reach statistical significance (P = 1.0).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confirmed that 16 of these reached the permutation P-value floor (P = 9.99 × 10⁻⁵), providing strong evidence of deviation from the multiplicative null model. The 16 significant signals were exclusively from astrocytes (6/6) and oligodendrocytes (10/10), both reflecting developmental origin signatures: oligodendrocyte dorsal/ventral origin differences (35) explain all 10 oligodendrocyte Strong signals as cortex vs. thalamus/brainstem boundaries, while compartmentalized astrogenesis (18)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(13,17)—yielded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60"/>
        <w:ind w:firstLine="0"/>
      </w:pPr>
      <w:r>
        <w:rPr>
          <w:rFonts w:ascii="Arial" w:hAnsi="Arial"/>
          <w:b w:val="0"/>
          <w:i w:val="0"/>
          <w:color w:val="000000"/>
          <w:sz w:val="22"/>
        </w:rPr>
        <w:t>Eleventh,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Twelfth, the empirical calibration factor (ω_cal = ω / 6.67) was derived from mouse split-half controls using a global HVG set for k_f, but is applied to human, TCGA, and brain analyses that use per-pair DE gene selection for k_f. The calibration factor has not been independently validated for the per-pair DE scheme, and cross-scheme transferability should be verified through matched calibration experiments in each analysis scheme.</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(33).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is publicly available at https://github.com/zhanglknt/CKI-cell-type-identification (tag v0.3.1) under the MIT License. A permanent archival copy has been deposited at Zenodo (DOI: 10.5281/zenodo.15670808). The package requires Python 3.8+ and runs on Linux, macOS, and Windows.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6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6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6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6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6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6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