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Supplementary Methods:
CKI Computational Reproducibility Guide</w:t>
      </w:r>
    </w:p>
    <w:p>
      <w:pPr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Li Zhang</w:t>
      </w: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1,2,*</w:t>
      </w:r>
    </w:p>
    <w:p>
      <w:pPr>
        <w:spacing w:after="20"/>
        <w:jc w:val="center"/>
      </w:pP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Institute of Blood Transfusion, Chinese Academy of Medical Sciences &amp; Peking Union Medical College, Chengdu, China</w:t>
      </w:r>
    </w:p>
    <w:p>
      <w:pPr>
        <w:spacing w:after="20"/>
        <w:jc w:val="center"/>
      </w:pP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Chinese Institute for Brain Research, Beijing, China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* Correspondence: knightz@pumc.edu.cn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1. Software Environment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CKI package (v0.2.0) is available at: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https://github.com/zhanglknt/CKI-cell-type-identification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Install from source: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git clone https://github.com/zhanglknt/CKI-cell-type-identification.git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cd CKI-cell-type-identification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pip install -e 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Required dependencies (automatically installed):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numpy &gt;= 1.23.0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scipy &gt;= 1.10.0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scanpy &gt;= 1.9.0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anndata &gt;= 0.8.0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tqdm &gt;= 4.64.0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Optional dependencies for extended analysis: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pip install "cki[analysis]"    # pandas, matplotlib, seaborn, scikit-learn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pip install "cki[pathway]"     # gseapy (for GO/KEGG enhancement)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analyses used Python 3.9+ with random seed 42 throughout.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2. CKI Algorithm Definition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CKI decomposes transcriptomic divergence into two components: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omega = k_f / k_n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where: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k_n  = JS(p_HK_A || p_HK_B)       ... neutral offset rate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k_f  = JS(p_ID_A || p_ID_B)       ... functional conversion rate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and JS(P || Q) is the Jensen-Shannon divergence (natural log):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        = 0.5 * (P + Q)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JS(P||Q) = 0.5 * KL(P||M) + 0.5 * KL(Q||M)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where KL(P||M) = sum_i [ P_i * ln(P_i / M_i) ]  for P_i &gt; 0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Both k_n and k_f use the same computational pipeline: (1) subset the pseudobulk expression vector to the relevant gene indices; (2) apply softmax normalization to convert expression values into a probability distribution:  p_i = exp(x_i) / sum_j exp(x_j); (3) compute JS divergence between the two resulting distributions. This internal consistency (same metric, same normalization, same underlying expression space) ensures omega is self-calibrated.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3. Gene Set Selection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Housekeeping Genes (for k_n)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 the analyses reported here, housekeeping (HK) genes were NOT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auto-detected. Instead, pre-specified HK gene lists were loaded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from the HRT Atlas reference file: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data/housekeeping/Human_Mouse_Common.csv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(1,130 orthologous gene pairs; Mouse column = mouse genes,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Human column = human genes; format identical to cki/data/hrt_atlas.csv)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For each dataset, HK genes were loaded as follows: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Tabula Muris (mouse):  HRT Atlas mouse genes (column 0),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                        intersected with data gene names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Tabula Sapiens (human):  HRT Atlas human genes (column 1),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                        intersected with common gene set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TCGA (human):           HRT Atlas human genes (column 1),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                        mapped via probeMap to Ensembl IDs,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                        then intersected with data genes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Siletti Brain (human):  HRT Atlas human genes (column 1)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                         matched to var["Gene"] in the h5ad file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Note: CKI supports data-driven HK auto-detection via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`detect_housekeeping_genes()` (detection rate &gt; 0.9, CV &lt; 30th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percentile, "combined" method; use_reference=True merges HRT Atlas).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This auto-detection was NOT used in the current analyses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(the pre-specified list approach was preferred for reproducibility),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but is available for new datasets without a curated HK list.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`detect_housekeeping_genes()` (detection rate &gt; 0.9, CV &lt; 30th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percentile, "combined" method; use_reference=True merges HRT Atlas).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This auto-detection was NOT used in the current analyses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(the pre-specified list approach was preferred for reproducibility),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but is available for new datasets without a curated HK list.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Identity Genes (for k_f)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Identity (functional) genes are defined as: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Default (CKI): top-2,000 highly variable genes (HVGs; Scanpy Seurat v3 flavor), with HK genes explicitly excluded to maintain k_n/k_f independence (adapted to min(2000, 0.8 * n_total_genes)).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Hybrid mode: global k_n computed once with shared HK gene set; per-pair k_f uses the top-200 differentially expressed genes (ranked by |mean_diff| between the two groups), excluding HK genes.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hybrid mode is used for Tabula Sapiens and TCGA analyses to give each cell-type pair the most informative identity genes while keeping all pairs on a common k_n scale. The parameter sweep (Supplementary Figure 1) confirmed that the identity-only configuration (w1 = 1.0, w2 = 0.0) achieves the best cell-type discrimination without external pathway databases.</w:t>
      </w:r>
    </w:p>
    <w:p>
      <w:pPr>
        <w:pStyle w:val="Heading 2"/>
      </w:pPr>
      <w:r>
        <w:rPr>
          <w:rFonts w:ascii="Arial" w:hAnsi="Arial"/>
          <w:sz w:val="22"/>
          <w:szCs w:val="22"/>
          <w:b/>
        </w:rPr>
        <w:t xml:space="preserve">3.3 Script-to-Manuscript Results Mapping</w:t>
      </w:r>
    </w:p>
    <w:p>
      <w:r>
        <w:rPr>
          <w:rFonts w:ascii="Arial" w:hAnsi="Arial"/>
          <w:sz w:val="20"/>
          <w:szCs w:val="20"/>
        </w:rPr>
        <w:t xml:space="preserve">This section clarifies which notebook scripts produce the results reported in the manuscript, and which scripts are exploratory (older designs that do not match the manuscript numbers).</w:t>
      </w:r>
    </w:p>
    <w:p>
      <w:r>
        <w:rPr>
          <w:rFonts w:ascii="Arial" w:hAnsi="Arial"/>
          <w:sz w:val="20"/>
          <w:szCs w:val="20"/>
        </w:rPr>
        <w:t xml:space="preserve"/>
      </w:r>
    </w:p>
    <w:p>
      <w:r>
        <w:rPr>
          <w:rFonts w:ascii="Arial" w:hAnsi="Arial"/>
          <w:sz w:val="20"/>
          <w:szCs w:val="20"/>
        </w:rPr>
        <w:t xml:space="preserve">All scripts listed below are in the notebooks/ directory. Scripts marked “Exploratory” are retained for reference but their output does NOT correspond to manuscript values.</w:t>
      </w:r>
    </w:p>
    <w:tbl>
      <w:tblPr>
        <w:tblStyle w:val="TableGrid"/>
      </w:tblPr>
      <w:tblGrid>
        <w:gridCol w:w="2880"/>
        <w:gridCol w:w="2880"/>
        <w:gridCol w:w="2880"/>
        <w:gridCol w:w="2880"/>
      </w:tblGrid>
      <w:tr>
        <w:tc>
          <w:tcPr>
            <w:vAlign w:val="center"/>
          </w:tcPr>
          <w:p>
            <w:r>
              <w:rPr>
                <w:rFonts w:ascii="Arial" w:hAnsi="Arial"/>
                <w:sz w:val="20"/>
                <w:szCs w:val="20"/>
                <w:b/>
              </w:rPr>
              <w:t xml:space="preserve">Dataset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  <w:szCs w:val="20"/>
                <w:b/>
              </w:rPr>
              <w:t xml:space="preserve">Manuscript
Figure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  <w:szCs w:val="20"/>
                <w:b/>
              </w:rPr>
              <w:t xml:space="preserve">Primary script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  <w:szCs w:val="20"/>
                <w:b/>
              </w:rPr>
              <w:t xml:space="preserve">Output CSV(s)</w:t>
            </w:r>
          </w:p>
        </w:tc>
      </w:tr>
      <w:tr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Mouse
(pilot)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Results 1–2,
Fig. 2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02b_pilot_v2.py
02c_pilot_v2b.py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mouse_pilot_v2_results.csv
mouse_pilot_v2b_results.csv</w:t>
            </w:r>
          </w:p>
        </w:tc>
      </w:tr>
      <w:tr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Mouse
(full
pairwise)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Fig. 2
(heatmap)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03_full_matrix.py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full_matrix_omega.csv
full_matrix_pairs.csv</w:t>
            </w:r>
          </w:p>
        </w:tc>
      </w:tr>
      <w:tr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Human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Fig. 3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05_phase33_v3_fixed.py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phase33_v3_human_omega.csv</w:t>
            </w:r>
          </w:p>
        </w:tc>
      </w:tr>
      <w:tr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TCGA
(tumor
vs normal)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Fig. 4
(tumor
vs normal)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06_phase34_v2.py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phase34_v2_summary.csv
phase34_v2_all_pairs.csv</w:t>
            </w:r>
          </w:p>
        </w:tc>
      </w:tr>
      <w:tr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TCGA
(clinical
severity)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Fig. 4
(clinical
severity)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07_phase34_clinical.py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phase34_clinical_severity.csv</w:t>
            </w:r>
          </w:p>
        </w:tc>
      </w:tr>
      <w:tr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Brain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Fig. 5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07c_brain_siletti_v3.py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brain_siletti_omega_pairs_v3.csv</w:t>
            </w:r>
          </w:p>
        </w:tc>
      </w:tr>
      <w:tr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Method
comparison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Fig. 4
(AUC)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13_phase35_method_comparison.py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phase35_all_metrics_pairs.csv
phase35_cross_organ_conservation.csv</w:t>
            </w:r>
          </w:p>
        </w:tc>
      </w:tr>
      <w:tr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Bootstrap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Fig. 2–3
(significance)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08a_tcga_bootstrap.py
08b_mouse_bootstrap.py</w:t>
            </w:r>
          </w:p>
        </w:tc>
        <w:tc>
          <w:tcPr>
            <w:vAlign w:val="top"/>
          </w:tcPr>
          <w:p>
            <w:r>
              <w:rPr>
                <w:rFonts w:ascii="Arial" w:hAnsi="Arial"/>
                <w:sz w:val="20"/>
                <w:szCs w:val="20"/>
              </w:rPr>
              <w:t xml:space="preserve">tcga_bootstrap_results.csv
mouse_pilot_v2b_bootstrap.csv</w:t>
            </w:r>
          </w:p>
        </w:tc>
      </w:tr>
    </w:tbl>
    <w:p>
      <w:r>
        <w:rPr>
          <w:rFonts w:ascii="Arial" w:hAnsi="Arial"/>
          <w:sz w:val="20"/>
          <w:szCs w:val="20"/>
        </w:rPr>
        <w:t xml:space="preserve"/>
      </w:r>
    </w:p>
    <w:p>
      <w:r>
        <w:rPr>
          <w:rFonts w:ascii="Arial" w:hAnsi="Arial"/>
          <w:sz w:val="20"/>
          <w:szCs w:val="20"/>
        </w:rPr>
        <w:t xml:space="preserve">Exploratory scripts (do NOT match manuscript numbers):</w:t>
      </w:r>
    </w:p>
    <w:p>
      <w:r>
        <w:rPr>
          <w:rFonts w:ascii="Arial" w:hAnsi="Arial"/>
          <w:sz w:val="20"/>
          <w:szCs w:val="20"/>
        </w:rPr>
        <w:t xml:space="preserve">• 01_pilot_mouse.py: Tissue-level CKI only (not cell-type-level). Replaced by 02b/02c in the manuscript.</w:t>
      </w:r>
    </w:p>
    <w:p>
      <w:r>
        <w:rPr>
          <w:rFonts w:ascii="Arial" w:hAnsi="Arial"/>
          <w:sz w:val="20"/>
          <w:szCs w:val="20"/>
        </w:rPr>
        <w:t xml:space="preserve">• 02_ct_pilot.py: Early cell-type-level pilot with random-split control. The manuscript uses mouse-ID-split control (02c_pilot_v2b.py). [Bug fixed in v0.3.2: fname→fname typo on line 72.]</w:t>
      </w:r>
    </w:p>
    <w:p>
      <w:r>
        <w:rPr>
          <w:rFonts w:ascii="Arial" w:hAnsi="Arial"/>
          <w:sz w:val="20"/>
          <w:szCs w:val="20"/>
        </w:rPr>
        <w:t xml:space="preserve">• 04_phase32_sweep.py: Parameter sweep over w1/w2 weights for multi-component k_f. The sweep result is NOT exactly reproducible because gsp.utils.download_library(’H’, ’Mouse’) downloads the latest MSigDB Hallmark definitions at runtime. To reproduce exactly, use the bundled results/phase32_sweep_results.csv instead of re-running the sweep.</w:t>
      </w:r>
    </w:p>
    <w:p>
      <w:r>
        <w:rPr>
          <w:rFonts w:ascii="Arial" w:hAnsi="Arial"/>
          <w:sz w:val="20"/>
          <w:szCs w:val="20"/>
        </w:rPr>
        <w:t xml:space="preserve"/>
      </w:r>
    </w:p>
    <w:p>
      <w:r>
        <w:rPr>
          <w:rFonts w:ascii="Arial" w:hAnsi="Arial"/>
          <w:sz w:val="20"/>
          <w:szCs w:val="20"/>
        </w:rPr>
        <w:t xml:space="preserve">Recommended reproduction workflow:</w:t>
      </w:r>
    </w:p>
    <w:p>
      <w:r>
        <w:rPr>
          <w:rFonts w:ascii="Arial" w:hAnsi="Arial"/>
          <w:sz w:val="20"/>
          <w:szCs w:val="20"/>
        </w:rPr>
        <w:t xml:space="preserve">1. Run 02b_pilot_v2.py → 02c_pilot_v2b.py → 03_full_matrix.py to reproduce all mouse results (Fig. 2, Results 1–2).</w:t>
      </w:r>
    </w:p>
    <w:p>
      <w:r>
        <w:rPr>
          <w:rFonts w:ascii="Arial" w:hAnsi="Arial"/>
          <w:sz w:val="20"/>
          <w:szCs w:val="20"/>
        </w:rPr>
        <w:t xml:space="preserve">2. For the parameter sweep, use the bundled phase32_sweep_results.csv rather than re-running 04_phase32_sweep.py.</w:t>
      </w:r>
    </w:p>
    <w:p>
      <w:r>
        <w:rPr>
          <w:rFonts w:ascii="Arial" w:hAnsi="Arial"/>
          <w:sz w:val="20"/>
          <w:szCs w:val="20"/>
        </w:rPr>
        <w:t xml:space="preserve">3. All other scripts (05 through 08) reproduce manuscript results exactly when run with the provided data and CKI v0.3.1.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4. Data Sources &amp; Preprocessing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4.1 Tabula Muris (Mouse) — Result 2 (Fig. 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Tabula Muris FACS (Schaum et al., Nature 2018)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https://github.com/czbiohub-sf/tabula-muris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Technology: SmartSeq2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15,057 cells, 22,308 genes, 6 organs (Liver, Kidney, Spleen, Lung, Heart, Marrow)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Load per-tissue count matrices (FACS/tissue-counts.csv).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Intersect to common gene set across all tissues.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Normalize: sc.pp.normalize_total(target_sum=1e4), then log1p.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Pseudobulk: mean expression per cell-type annotation.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Filter: cell types with &lt; 10 cells excluded.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Compute global k_n on all cell-type pseudobulks (shared HK set).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7. Compute per-pair k_f with top-200 DE genes.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8. Bootstrap: n = 500 permutations, two-sided test.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Controls: Six random-split comparisons (same cell population divided into two halves) tested neutral behavior (omega ~ 1).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Total pairs: 703 cell-type pairs across 6 organs.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4.2 Tabula Sapiens (Human) — Result 3 (Fig. 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Tabula Sapiens (Jones et al., Science 2022)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https://github.com/czbiohub-sf/tabula-sapiens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Technology: 10x Genomics (3′ and 5′ assays)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108,136 cells (6 h5ad files total), 102 cell-type entries, 6 organs (Liver, Kidney, Heart, Bone Marrow, Spleen, Lung)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Load per-organ h5ad files (TS_{Organ}.h5ad; e.g., TS_Liver.h5ad, TS_Kidney.h5ad, etc.).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Intersect to common gene set across all 6 organs.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Within each organ: filter cells with &lt; 500 genes, then normalize: sc.pp.normalize_total(target_sum=1e4), log1p.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Pseudobulk: mean expression per cell_type_ontology_term_id.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Global k_n: JS divergence on full pseudobulk matrix with shared HK set.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Per-pair k_f: top-200 DE genes (ranked by absolute mean difference), HK genes excluded.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7. Full pairwise omega computed for all 5,151 cell-type pairs.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Method comparison: Spearman rank correlation computed between CKI omega and four standard metrics on all 5,151 pairs: raw JS divergence (all genes), Spearman distance (1 - Spearman r), cosine distance (1 - cosine similarity), marker Jaccard distance (1 - intersection/union of top-200 marker genes per cell type). Classification AUC from cell-type pair classification task (same-type vs. different-type) computed with sklearn.metrics.roc_auc_score.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4.3 TCGA (Human Cancer) — Result 4 (Fig. 4)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TCGA Pan-Cancer (Hutter &amp; Zenklusen, Cell 2018; Liu et al., Cell 2018)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UCSC Xena (https://xenabrowser.net/), file: tcga_RSEM_gene_tpm.gz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10,535 samples across 5 cancer types: LUAD, LUSC, LIHC, KIRC, BRCA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Filter: gene-level mean expression &gt; 1 TPM within each cancer type (per-cancer independent filtering).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log2(TPM + 0.001) transformation.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Pseudobulk: mean expression per sample.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Sample pairs drawn from: tumor-tumor (TT), normal-normal (NN), tumor-normal (TN). Maximum 2,000 random TT and TN pairs each.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Global k_n computed once per cancer type using shared HK genes.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Per-pair k_f with top-200 DE genes (ranked by |mean_diff|).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7. NN/TT ratio computed as mean(omega_NN) / mean(omega_TT) per cancer type.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Clinical stratification: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LIHC Edmondson grade: G1 (n=12), G2 (n=118), G3 (n=127), G4 (n=32). Jonckheere-Terpstra trend test.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BRCA PAM50 subtype: Basal-like (n=181), HER2 (n=78), LumA (n=562), LumB (n=207), Normal-like (n=36). Kruskal-Wallis test.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LUAD mutation: EGFR (n=97), KRAS (n=152), WT (n=283). Kruskal-Wallis test.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4.4 Siletti Brain Atlas (Human) — Results 5 &amp; 6 (Fig. 5 &amp; 6)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Siletti et al. (Science 2023)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https://github.com/linnarsson-lab/snRNA_brain_atlas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Technology: snRNA-seq (10x Genomics)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888,263 non-neuronal nuclei, ~100 brain regions, 10 cell classes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Load Nonneurons.h5ad in backed mode (backed='r') for memory efficiency.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Map gene symbols from var["Gene"]; match HK genes from HRT Atlas (1,130 human genes) to gene symbol column.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Group by (cell_type, brain_region). Filter groups with &lt; 20 nuclei.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Build pseudobulk vectors: raw count means per (ct, region) group. Normalize each pseudobulk: softmax(log1p(pb / sum(pb) * 1e4 + 1e-9)).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Compute omega for all same-cell-type cross-region pairs (31,764 pairs total).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Organize omega values per cell type and per region pair.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Cross-organ conservation (Fig. 5): Subset of 60 same-cell-type cross-organ pairs from Tabula Sapiens data. Ranked by mean omega per cell type.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Migration detection model (multiplicative):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For each (cell_type, region_pair) combination: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expected_omega = mu_ct * mu_pair / mu_grand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where mu_ct = cell type’s global mean omega, mu_pair = region pair’s mean omega, mu_grand = global mean (8.01).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residual = observed_omega / expected_omega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Confidence tiers: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Strong:   residual &lt; 0.3, omega &lt; 15, lowest omega in region pair, and pair median omega &gt; 20.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Moderate: residual &lt; 0.5, omega &lt; 25.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Weak:     residual &lt; 0.75, omega &lt; 35.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5. Statistical Testing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5.1 Bootstrap Permutation Test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For each cell-type pair comparison, the null hypothesis H0: omega = 1 (no selective remodeling) is tested via permutation: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Pool all cells from groups A and B.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For each of B iterations (B = 500 or 1000):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a. Randomly permute cell labels.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b. Split into two groups of original sizes.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c. Recompute pseudobulks and omega.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Null distribution = {omega_perm[1], ..., omega_perm[B]}.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Two-sided P-value: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 = (count(|omega_null - 1| &gt;= |omega_obs - 1|) + 1) / (B + 1)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Effect size: Cohen’s d = (omega_obs - mean_null) / std_null.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95% CI: [percentile(null, 2.5), percentile(null, 97.5)].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5.2 Notes on Execution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Multiple testing correction (Benjamini-Hochberg FDR) is NOT systematically applied in the current analyses: all reported P-values and significance thresholds use raw (uncorrected) bootstrap P-values. This applies uniformly to the manuscript figures and the code repository (notebooks/).</w:t>
      </w:r>
    </w:p>
    <w:p>
      <w:r>
        <w:br w:type="page"/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6. Parameter Summary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parameters used in the reported analyses: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0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Parameter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Value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Random seed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HK detection method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direct load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mouse, TCGA, brain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HK detection method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detect (combined)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Tabula Sapiens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HRT Atlas file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data/housekeeping/Human_Mouse_Common.csv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HRT Atlas reference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yes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mouse, TCGA, brain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HRT Atlas reference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Tabula Sapiens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Number of HVGs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2,000 (default, unused)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Per-pair DE genes (k_f)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human, TCGA, mouse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Bootstrap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500 (two-sided)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 pilot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k_n scaling (alpha)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k_f weight (w1)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Pathway weight (w2)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0.0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Normalization target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1e4 (CP10k)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Min cells per group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mouse, human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Min cells per group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brain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Epsilon (omega ratio)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1e-9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</w:tbl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7. Output Files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results are written to results/: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Mouse (02c_pilot_v2b.py):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results/mouse_pilot_v2b_results.csv        # omega per pair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results/mouse_pilot_v2b_key_values.csv   # k_n, k_f, omega per comparison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Human (05_phase33_v3_fixed.py):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results/phase33_v3_human_omega.csv        # omega matrix (cell-types x cell-types)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results/phase33_v3_human_kn.csv           # k_n matrix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results/phase33_v3_human_kf.csv          # k_f matrix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results/phase33_v3_human_pairs.csv       # long-form pair list with omega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TCGA (06_phase34_v2.py):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results/phase34_v2_all_pairs.csv          # all TT/NN/TN pairs with omega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results/phase34_v2_summary.csv           # per-cancer summary statistics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results/phase34_v2_{cancer}_pair.csv  # per-cancer pair files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Brain (07c_brain_siletti_v3.py):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results/brain_siletti_omega_pairs_v3.csv        # all region-pair omega values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results/brain_siletti_ct_summary_v3.csv          # per-cell-type mean omega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results/brain_siletti_key_values_v3.csv          # per-cell-type global summary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results/brain_siletti_migration_candidates_v3.csv # migration candidate list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Figure scripts: notebooks/30_nar_figures_fixed_v2.py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8. Reproducibility Checklist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Install CKI v0.2.0: pip install -e 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random seed = 42 in all scripts.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HK gene parameters: combined, threshold=0.9, CV percentile=0.3.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identity gene parameters: HVG Seurat v3, n=2000, HK excluded.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bootstrap iterations: 500 (mouse) or 1000 (human/TCGA/brain).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normalization: CP10k + log1p.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softmax normalization before JS divergence.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epsilon = 1e-10 in omega computation.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two-sided bootstrap test with pseudocount +1.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For human/TCGA: verify per-pair k_f uses top-200 DE genes.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For brain: verify min_cells_per_group = 20.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Note: FDR correction is not applied in the current analyses; all reported P-values are raw bootstrap P-values. (Section 5.2)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By following this guide with the exact parameter configurations above, readers should obtain numerically identical results to those reported in the manuscript. Minor floating-point differences (±1e-6) may occur due to hardware differences in transcendental function evaluation (exp, log) but will not affect any biological conclusions.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CKI Computational Reproducibility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2026-06-08T08:03:03.835Z</dcterms:created>
  <dcterms:modified xsi:type="dcterms:W3CDTF">2026-06-08T08:03:03.847Z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