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102206,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On real technical replicates—30 cross-lane pairs from Kang IFN-β—ω raised no false reports; under stronger brain library-level drift (2,161 pairs), it had the lowest false-report rate among continuous metrics (28.6% versus 45.2% for raw JS), though specificity decays with group size. In 3,567 TCGA samples across five cancer types, ω revealed a consistent pan-cancer reversal—tumors less divergent than adjacent normal tissue (ratio 1.10–2.46, CI excluding 1 in four of five cancers)—driven by a 1.3–3.3-fold elevated housekeeping baseline, not reduced functional divergence; in lung adenocarcinoma, KRAS-mutant tumors showed elevated tissue-level divergence whose functional (k_f) and baseline (k_n) components both survived purity and smoking adjustment, whereas the apparent EGFR-mutant association was explained by stromal/immune admixture. Brain analysis revealed a 1.74-fold size-balanced regional gradient ([1.64, 1.84]; 6.10-fold uncorrected; 3.68-fold span-matched intra-cerebellar).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on real technical replicates—30 same-donor cross-lane pairs in an IFN-β PBMC cohort and 2,161 same-donor, same-region library pairs in the brain atlas—ω showed the lowest drift misreporting among continuous divergence metrics while retaining sensitivity to genuine biology (Results). Fourth,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3,567 samples, uncovering a consistent pan-cancer reversal—tumor specimens less divergent than adjacent non-tumor tissue, attributable to an elevated housekeeping baseline—and resolving driver-class differences in lung adenocarcinoma, where KRAS-mutant tumors retained both functional (k_f) and baseline (k_n) divergence after purity and smoking adjustment, whereas the apparent EGFR association dissolved under purity adjustment (Results). Fifth,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regional differentiation gradient (1.74-fold size-balanced; 6.10-fold uncorrected full-data estimate)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 A leave-one-population-out sensitivity shows the constant depends on one outlier population: the hepatocyte control sits at 12.44 ± 5.98 while the other five populations lie at 5.77–7.36, and removing hepatocyte lowers the baseline to 6.75 (−12.3%; leave-one-out range 6.75–8.08; median-of-population-means 7.12). All ratio statements (including the astrocyte-over-Bergmann-glia gradient) are baseline-invariant, but absolute ω_cal magnitudes shift by up to 14% under the outlier-free baseline (Bergmann glia ω_cal 1.76 → 2.01; astrocytes 10.75 → 12.26; Section 3.10 of the Supplementary Information).</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2d).</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line="276" w:lineRule="auto" w:after="80"/>
        <w:ind w:firstLine="0"/>
      </w:pPr>
      <w:r>
        <w:rPr>
          <w:rFonts w:ascii="Arial" w:hAnsi="Arial"/>
          <w:b w:val="0"/>
          <w:i w:val="0"/>
          <w:color w:val="000000"/>
          <w:sz w:val="22"/>
        </w:rPr>
        <w:t>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(Fig. 2e;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(Fig. 2e),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k_f alone was likewise 0 of 30—on this dataset ω adds no increment over its numerator), with a median calibration ratio (observed / null median) of 0.963 (IQR [0.918, 0.998]), whereas raw JS misreported 36.7% of the pairs (11 of 30, CI [0.219, 0.545]) and cosine distance 23.3% (7 of 30, CI [0.118, 0.409]) as divergence (Fig. 3d).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among the four continuous divergence metrics (FPR 28.6%, CI [26.8, 30.6], versus 45.2% for raw JS, 44.1% for cosine, 40.6% for Spearman distance, 37.6% for k_f alone, and 35.7% for the baseline component k_n; Fig. 3b, c), and ω was below raw JS in 10 of 10 cell classes (below cosine in 9 of 10, below Spearman in 8 of 10; per-class raw-JS-to-ω FPR ratios 1.2–2.3). Marker Jaccard distance was lower still (T1 FPR 19.9%, below ω in all ten cell classes; T2 74.7% versus 90.9% for ω): judged on the false-positive statistic alone, it separates the tiers at least as well as ω (T3−T1 FPR gap 0.60 versus 0.56; T3/T1 ratio 4.0 versus 3.0), so the misreporting claim for ω is restricted to the continuous divergence metrics. Its advantage over marker Jaccard lies elsewhere: Jaccard responded weakest to genuine regional divergence (T3 calibration ratio 1.41 versus 1.80 for ω and 2.98 for raw JS) and, as a single set-overlap statistic, offers no k_n/k_f decomposition—the component split that localizes the TCGA reversal and the LUAD driver contrast (below)—so ω occupies the better trade-off between drift specificity, sensitivity to biology, and interpretability. At T2 the picture is not immunity but relative calibration: all metrics fire on most pairs (donor differences contain real biology), and ω again misreported least among the continuous divergence metrics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The Kang cross-lane replicates, with at least 50 cells per group, sit toward the small end of this size range, where misreporting is lowest—the 0-of-30 Kang outcome and the 28.6% brain T1 rate are therefore consistent under the size-dependence of the technical component.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the continuous divergence metrics (raw JS, cosine, Spearman, k_f) at every tier, with sensitivity to genuine regional divergence preserved (Fig. 3; audit trails in the companion repository; Section 3.12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3,567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4; Supplementary Fig. 4). A consistent pan-cancer reversal emerged: in all five cancer types, NN pairs were more divergent than TT pairs—the ratio of mean NN to mean TT ω ranked LUAD 2.46 (95% CI 2.13–2.86; sample-level cluster bootstrap, B = 1,000), KIRC 1.88 (1.63–2.16), LUSC 1.71 (1.38–2.09), BRCA 1.57 (1.34–1.84), and LIHC 1.10 (0.93–1.29)—with the bootstrap CI excluding 1 in four of five cancers (LIHC CI including 1, direction consistent in all five; pair-level Mann-Whitney P-values, which ignore dyadic dependence between pairs, are reported as descriptive only in Section 3.13 of the Supplementary Information). Component decomposition identified the mechanism: in every cancer type the housekeeping baseline was elevated in tumors—TT k_n exceeded NN k_n by 1.3–3.3-fold (mean ratios; 95% CIs excluding 1 in all five cancers, e.g. KIRC 3.29 [2.54, 4.35], LIHC 1.35 [1.02, 1.88]; corresponding median ratios 2.18–3.70 in the Supplementary Information)—whereas TT k_f was equal to or higher than NN k_f (e.g. LUAD 0.282 versus 0.226). The reversal therefore reflects a more stable housekeeping baseline among adjacent non-tumor specimens, not smaller functional-gene divergence of tumor cells (Fig. 4a).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311—wild-type for EGFR and KRAS, since tumors carrying other drivers were not separately excluded; double mutants, n = 2, excluded) using per-tumor ω (the mean over all TT pairs in which a tumor participates, including pairs with tumors of other driver classes, so the group means are not formed from disjoint pair sets; Fig. 4b).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Because per-tumor ω averages overlapping (non-disjoint) pair sets, we re-ran the group tests as whole-tumor label-permutation tests, which are insensitive to this dyadic dependence: KW P = 0.0001 (B = 10,000), KRAS–WT P = 0.0001, KRAS–EGFR P = 0.003, EGFR–WT P = 0.21 (Section 3.13 of the Supplementary Information; notebooks/93_luad_group_permutation_v49.py). The k_f/k_n decomposition separated the two drivers’ associations mechanistically (Fig. 4c,d): the KRAS contrast carried a functional component (KRAS versus EGFR under k_f alone, Dunn–Holm P = 0.015; KRAS−WT k_f difference 0.011, 95% CI 0.002–0.019) accompanied by a lower k_n (WT &gt; KRAS, Dunn–Holm P = 4.2 × 10⁻⁴), both of which raise the ratio. The elevation was carried predominantly by the lower baseline (k_n contributed ~84% of the log-ω gap; the unadjusted k_f contrast was non-significant, Dunn P = 0.097). Because driver classes could differ in tumor purity, we scored every tumor with the ESTIMATE stromal and immune signatures and used the combined admixture score as a covariate (Methods): admixture differed across driver groups, highest in EGFR-mutant tumors (Kruskal-Wallis P = 0.003), and after admixture adjustment the KRAS–wild-type difference remained significant for both components (Δω +16.8, P = 4.0 × 10⁻⁶; Δk_f +0.012, P = 0.009; Δk_n −0.0004, P = 0.003; on the log-ω scale the adjusted KRAS/WT ratio is 1.19, bootstrap 95% CI [1.12, 1.26], so the adjustment conclusion is scale-robust), whereas EGFR-mutant tumors no longer differed from wild-type in any metric (all P &gt; 0.4)—the apparent EGFR elevation is explained in the adjusted model by stromal/immune admixture rather than by a baseline shift. KRAS-mutant tumors were strongly enriched for ever-smokers (94% versus 63% in EGFR-mutant and 86% in wild-type tumors, χ² = 30.3, P = 2.7 × 10⁻⁷), yet adjusting for smoking status—alone or jointly with age, sex, and admixture—left the KRAS–wild-type differences essentially unchanged (Δω +13.9, P = 5.9 × 10⁻⁴ with smoking alone; +13.6, P = 3.3 × 10⁻⁴ in the joint model, with both components likewise retained; Section 3.13 of the Supplementary Information). That a single bulk-level statistic, read through its components, distinguishes a functionally divergent driver class (KRAS, robust to purity and smoking adjustment) from an apparent association explained by admixture (EGFR) is precisely the decomposition CKI is designed to provide—although these remain observational associations: the admixture score is an ESTIMATE-style proxy rather than a consensus-purity estimate (it is monotonically equivalent to published ESTIMATE purity, so regression-adjusted conclusions are unaffected), and pack-years data were too sparse to model (smoking status covered 427 of 492 tumors, 87%). KRAS-mutant LUAD also differs from wild-type in TP53 co-mutation rate and histological subtype (invasive mucinous adenocarcinoma is KRAS-enriched); neither was adjusted for, so the KRAS–wild-type contrast carries residual confounding beyond purity and smoking.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 xml:space="preserve">Four controls bound the interpretation of the pan-cancer reversal. First, a four-panel marker composition check (immune, myeloid, stromal, epithelial) with sample-level cluster bootstrap found the pooled tumor-pair k_n coefficient essentially unchanged after composition adjustment (−1.3% pooled; cluster-bootstrap median −1.2%, 95% CI −5.0% to +2.3%; per cancer type −16% to +32%), so marker-measurable composition explains little of the pooled reversal, though as a noisy proxy it bounds rather than settles the question (Supplementary Note 8). A gene-signature purity sensitivity settles the direction: scoring every sample with the ESTIMATE stromal and immune signatures (combined admixture; Methods), per-tumor k_n correlated negatively with admixture in every cancer type (r = −0.23 to −0.42), so admixture can only weaken, not create, the TT k_n elevation—and restricting tumor–tumor comparisons to the low-admixture (high-purity) half of tumors increased the NN/TT ratio in all five cancer types (LUAD 2.46 → 2.86, 95% CI 2.41–3.45; LIHC 1.10 → 1.17, its CI still including 1, so the four-of-five CI caliber is preserved; Section 3.13 of the Supplementary Information). The reversal is therefore not an artefact of stromal or immune admixture. Second, all reported TCGA statistics were recomputed under a linear probability mapping (p_i = (TPM + 1)/Σ(TPM + 1), replacing the softmax-over-log2 map), and this linear re-computation is the authoritative caliber throughout: the reversal, its ranking, the k_n elevation, and the LUAD mutation gradient were preserved in direction and rank order, although the LIHC effect size is mapping-sensitive and quantitatively weaker under the linear mapping (NN/TT mean ratio 1.10 versus 1.31 under the softmax mapping; softmax-caliber values are archived as a sensitivity analysis in Section 1.7 of the Supplementary Information). Third, the k_f/k_n decomposition itself localizes the reversal in the denominator, which composition adjustment of k_n leaves intact; a fixed-panel ablation of the per-pair top-200 selection was run for the brain pipeline (Supplementary Note 7) but not for bulk TCGA, so the k_f panel choice remains a residual caveat for the bulk numerator, though not for the denominator-driven reversal. Two further checks bound the numerator’s meaning: enrichment of the LUAD KRAS tumor–tumor identity panels (7,260 pairs, top-200 genes per pair) against the 50 MSigDB Hallmark programs </w:t>
      </w:r>
      <w:r>
        <w:rPr>
          <w:rFonts w:ascii="Arial" w:hAnsi="Arial"/>
          <w:b w:val="0"/>
          <w:i w:val="0"/>
          <w:color w:val="000000"/>
          <w:sz w:val="22"/>
          <w:vertAlign w:val="superscript"/>
        </w:rPr>
        <w:t>15</w:t>
      </w:r>
      <w:r>
        <w:rPr>
          <w:rFonts w:ascii="Arial" w:hAnsi="Arial"/>
          <w:b w:val="0"/>
          <w:i w:val="0"/>
          <w:color w:val="000000"/>
          <w:sz w:val="22"/>
        </w:rPr>
        <w:t xml:space="preserve"> found no program surviving multiple-testing correction (all q ≥ 0.24), consistent with a distributed identity-gene signal rather than a single-pathway artefact; and a pair-level composition regression of log k_f with the admixture covariates retained the TT ≥ NN k_f ordering in all five cancer types (e.g., LUAD adjusted log gap +0.21, P = 8 × 10⁻⁸⁰; Section 3.13 of the Supplementary Information).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1.07, 95% CI 0.88–1.31, P = 0.48, adjusted for stage, grade, age, and sex; Methods), so the reversal is a descriptive property of tissue-state divergence, not a prognostic marker. Fourth, excluding the 32 cell-line-derived (CC) LIHC samples from the pair table altogether leaves the LIHC null result unchanged (NN/TT 1.11, 95% CI [0.93, 1.30]; TT k_n/NN k_n 1.34, 95% CI [1.00, 1.88]; cluster bootstrap B = 1,000), so the LIHC interval is not an artefact of their reassignment (Methods). The high-purity half analysis is likewise insensitive to the CC samples (LIHC 1.17 with all tumors versus 1.19 excluding CC, 95% CI [1.01, 1.44]), and a full barcode source-code audit of all 3,593 samples in the pair table (only source codes 01 and 11 present in every cancer type; the 32 CC tumours are the sole anomalous source set, all ILSBio LIHC) together with a CC-presence ledger for every LIHC downstream analysis is provided in the Reproducibility Guide (notebooks/94_cc_audit_sensitivity_v49.py).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5; Table 1; Supplementary Fig. 5). The cross-organ ω ranking reveals a broad spectrum of conservation across 17 cell types, of which only the extremes reproduce under k_f (Supplementary Note 9) (Table 1). Because single-pair means are statistically uninformative, we anchor interpretation on well-sampled cell types (n ≥ 5 pairs; upper block of Table 1):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16</w:t>
      </w:r>
      <w:r>
        <w:rPr>
          <w:rFonts w:ascii="Arial" w:hAnsi="Arial"/>
          <w:b w:val="0"/>
          <w:i w:val="0"/>
          <w:color w:val="000000"/>
          <w:sz w:val="22"/>
        </w:rPr>
        <w:t>, although both are represented by only n = 3 pairs and this end of the ranking is suggestive only. Sparsely sampled types (n = 1–3 pairs, lower block of Table 1)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 and because the k_n anchor is not calibrated across cell types (Discussion), cross-type gaps in mean ω should be read as descriptive rather than calibrated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Class-mean ω spanned a 1.74-fold size-balanced regional gradient across cell classes (equal-n control; uncorrected full-data estimate 6.10-fold; all class-level SDs in this paragraph computed with ddof = 1). Bergmann glia and vascular cells showed the lowest mean ω (both 13.56, a near-tie whose order flips with the filter threshold—see the threshold sensitivity below;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The size-balanced control equalizes nucleus counts but not anatomical span—Bergmann glia pairs are all intra-cerebellar whereas astrocyte pairs span 108 regions—so the 1.74-fold value is size-balanced but not span-balanced; restricting astrocytes to their 21 intra-cerebellar region pairs (the identical region pairs that define Bergmann glia) yields a span-matched gradient of 3.68 (ratio of class means; paired per-region-pair median 4.30, bootstrap 95% CI [3.40, 4.95]; notebooks/95_brain_region_matched_v49.py), so the gradient persists, at reduced magnitude, after both controls. Under class-specific split-half baselines the gradient is 5.99 (95% CI [4.43, 7.69], studentized bootstrap-t region-clustered bootstrap, superseding the under-covering percentile interval [4.12, 9.18]; Supplementary Note 2; see Discussion). Region-clustered bootstrap 95% CIs for the class-level means (percentile intervals, B = 2,000; Methods): astrocytes [75.66, 89.53], oligodendrocyte precursors [37.02, 44.21], oligodendrocytes [34.31, 39.88], microglia [21.80, 26.87], Bergmann glia [5.76, 28.59] (studentized bootstrap-t, B = 5,000;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Pearson r = −0.850, P = 0.0018)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Decomposing the equal-n residual into its components shows it is carried predominantly by the functional term: the astrocyte/Bergmann-glia k_f ratio is 2.09 (95% CI [2.02, 2.18]) under equal-n—essentially the full-data value (2.03)—whereas the k_n ratio reverses direction (equal-n 1.29, 95% CI [1.21, 1.41], astrocyte higher; full-data 0.31, Bergmann glia higher), so the Bergmann-glia k_n elevation in the full data is largely a class-size artefact and the size-balanced residual is a k_f effect (notebooks/96_brain_downsample_decomp_v49.py). Fourth, the gradient is robust to the 20-nuclei group-size threshold in direction but not magnitude: thresholds of 10, 20 (reported), 50, and 100 nuclei retain 10, 10, 10, and 8 classes, with endpoint gradients of 6.60, 6.10, and 4.12 at thresholds 10, 20, and 50 (at 100 nuclei the eight retained classes exclude Bergmann glia, so the endpoint gradient is undefined); large classes change ≤ 2% in mean ω, with the single exception of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17</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18</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19</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20–22</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23,24</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 across the full 31,764-pair pool—the 39 observed lie 3.8-fold below the null expectation (P(null count ≥ 39) = 1.0), and no candidate survives FDR correction (minimum q = 0.520). The catalogue below is therefore a prioritized hypothesis list, not discoveries, and mechanism assignment is literature-guided; the catalogue also inherits the atlas’s donor structure (four donors; 94.5% of region pairs share at least one), leaving pair-level nominations subject to donor confounding;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ependymal cells (2), and the oligodendrocyte precursor lineage (one committed OPC, one OPC) accounting for the remainder (39 in total);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19</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25</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26,27</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28</w:t>
      </w:r>
      <w:r>
        <w:rPr>
          <w:rFonts w:ascii="Arial" w:hAnsi="Arial"/>
          <w:b w:val="0"/>
          <w:i w:val="0"/>
          <w:color w:val="000000"/>
          <w:sz w:val="22"/>
        </w:rPr>
        <w:t xml:space="preserve">; cerebellar molecular topography </w:t>
      </w:r>
      <w:r>
        <w:rPr>
          <w:rFonts w:ascii="Arial" w:hAnsi="Arial"/>
          <w:b w:val="0"/>
          <w:i w:val="0"/>
          <w:color w:val="000000"/>
          <w:sz w:val="22"/>
          <w:vertAlign w:val="superscript"/>
        </w:rPr>
        <w:t>26</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29</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13,30</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 The ratio earns its increment over k_f under controlled ground truth (AUC 0.80 versus 0.72 for k_f in the marrow background; 0.91 versus 0.86 in the skin replication) and in drift rejection, where the anchor cancels shared sampling noise; on real-data orderings the increment is not established, and k_f with a design-matched null remains the default for ordering claims.</w:t>
      </w:r>
    </w:p>
    <w:p>
      <w:pPr>
        <w:spacing w:line="276" w:lineRule="auto" w:after="80"/>
        <w:ind w:firstLine="0"/>
      </w:pPr>
      <w:r>
        <w:rPr>
          <w:rFonts w:ascii="Arial" w:hAnsi="Arial"/>
          <w:b w:val="0"/>
          <w:i w:val="0"/>
          <w:color w:val="000000"/>
          <w:sz w:val="22"/>
        </w:rPr>
        <w:t xml:space="preserve">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The inversion is structural rather than incidental: in Ka/Ks the denominator (Ks) is a putatively neutral standard, whereas the HK anchor is itself the most strongly constrained expression class. In molecular-evolution terms, the Ks class here is itself under strong constraint—as if synonymous sites were selected along one lineage, where dN/dS loses its interpretation—and the TCGA pan-cancer reversal, in which the denominator shifts 1.3–3.3-fold with disease state, is the empirical demonstration of that failure mode; the per-class baselines (a 1.65-fold spread) are the analogue of dS varying across lineages, handled in molecular evolution by branch models and here by per-class calibration. The correspondence runs: synonymous-site divergence (Ks) to HK-gene divergence (k_n), nonsynonymous divergence (Ka) to functional-gene divergence (k_f), a species pair to the two cell populations being compared, and—completing the McDonald–Kreitman-style contrast </w:t>
      </w:r>
      <w:r>
        <w:rPr>
          <w:rFonts w:ascii="Arial" w:hAnsi="Arial"/>
          <w:b w:val="0"/>
          <w:i w:val="0"/>
          <w:color w:val="000000"/>
          <w:sz w:val="22"/>
          <w:vertAlign w:val="superscript"/>
        </w:rPr>
        <w:t>34</w:t>
      </w:r>
      <w:r>
        <w:rPr>
          <w:rFonts w:ascii="Arial" w:hAnsi="Arial"/>
          <w:b w:val="0"/>
          <w:i w:val="0"/>
          <w:color w:val="000000"/>
          <w:sz w:val="22"/>
        </w:rPr>
        <w:t>—the split-half calibration baseline (within-population ω ≈ 7.70) to the polymorphism class, so that ω_cal = ω/7.70 parallels the direction of the neutrality index: between-population divergence in the numerator, within-population baseline in the denominator. This fourth term inherits every caveat of the neutrality index (its ratio is likewise confounded when the denominator class is constrained), and the reference class here is constrained rather than neutral. ω should accordingly be read as functional divergence in excess of a constrained baseline, never as evidence of positive selection.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35</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36</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37</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Two variants were run: binary one-vs-rest tasks (comparable across classes despite region-set sizes of 6–107) and a multiclass macro-OvR run; the binary variant was designated the confound-controlled comparison after observing that the multiclass AUC correlates with the eligible-region count, and both are reported in parallel rather than as primary versus secondary. Under the binary variant,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at n = 10 the pattern is consistent with, but does not establish, localization of the shared signal to the k_f numerator rather than k_n. CKI is therefore not redundant with perturbation-prioritization tools, with complementarity supported by the decomposition rather than by the ranking correlation alone. The multiclass macro-OvR variant gave a weaker, confounded association (versus ω ρ = 0.127, P = 0.726; AUC correlated with eligible-region count at ρ = −0.744, P = 0.014). The pure-Python port (pyaugur 0.1.0) reports rank identity with the R reference implementation, but that equivalence is the port author’s validation and was not independently re-verified on a public benchmark here.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1.10–2.46,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1.31-fold higher for the three-panel composite and 1.22-fold with the myeloid panel included; P = 4 × 10⁻¹³⁷ and 1 × 10⁻⁶⁶), and within tumor-tumor pairs k_n correlates with the overall four-panel composition difference (Spearman ρ = 0.364 pooled, P &lt; 10⁻³⁰⁰; 0.20–0.51 per cancer type); however, in regressions of log k_n on pair type with the four composition deltas as covariates—including a myeloid panel (CD68, CD163, LST1, FCGR3A, C1QA)—and sample-level cluster bootstrap confidence intervals (B = 200), the tumor-pair coefficient attenuates by −1.3% pooled (cluster-bootstrap median −1.2%, 95% CI [−5.0%, +2.3%]), with marked per-cancer heterogeneity (−16% to +32%; linear-normalization caliber, the authoritative caliber throughout; the superseded softmax-caliber estimates are archived in Section 1.7 and Note 8 of the Supplementary Information).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38</w:t>
      </w:r>
      <w:r>
        <w:rPr>
          <w:rFonts w:ascii="Arial" w:hAnsi="Arial"/>
          <w:b w:val="0"/>
          <w:i w:val="0"/>
          <w:color w:val="000000"/>
          <w:sz w:val="22"/>
        </w:rPr>
        <w:t xml:space="preserve"> or RNA-quality differences instead, and single-cell or deconvolution-based validation remains necessary. Two further limitations bound the bulk analysis: within each cancer type, tumor and adjacent non-tumor aliquots differ systematically in tissue-source site and processing batch (a known TCGA property), so part of the NN/TT contrast could track these technical strata—we did not test a batch-matched subset; and adjacent non-tumor tissue from cancer patients is not healthy tissue, so separating tumor-specific housekeeping elevation from field effects will ultimately require an external healthy reference (e.g., GTEx), which we leave to future work. Within LUAD, the KRAS enrichment among ever-smokers mirrors known lung-adenocarcinoma epidemiology, yet smoking status itself does not carry the divergence association, so the KRAS-linked functional divergence is unlikely to be a smoking-field effect; and although the purity adjustment relies on an ESTIMATE-style signature score rather than a consensus-purity estimate, the score is monotonically equivalent to published ESTIMATE purity, leaving the adjusted conclusions unchanged.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regional ω gradient across 10 cell classes (size-balanced 1.74-fold; uncorrected full-data 6.10-fold,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25</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39</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40,41</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25</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the continuous divergence metrics at every tier of the drift ladder while retaining sensitivity to genuine regional divergence; marker Jaccard was more conservative still but offers no k_n/k_f decomposition;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is designed to detect state changes within a given cell type, not to discriminate cell-type identity. Because the housekeeping anchor is cell-type-specific—housekeeping gene sets may differ across cell types—the k_n baseline is only directly comparable within the same cell type, so limited cross-type discrimination of ω is expected by design and delineates, rather than limits, the index’s scope. The intended domain of CKI is thus the comparison of biologically matched populations—the same cell type across organs, brain regions, or perturbation states—as throughout the analyses reported here. Within that domain, the ratio’s primary demonstrated value is specificity-first screening (rejection of neutral drift at controlled false-positive rates), while real-data ordering claims are better carried by the k_f/k_n decomposition itself—the decomposition, not ω alone, localized the TCGA reversal and separated KRAS from EGFR—so we read ω as a screening statistic whose ordering use is secondary to its decomposition; the honest default for ordering claims is k_f plus a design-matched null (Discussion).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where tested (HVG count, module size in simulation, tier thresholds), but the per-pair top-200 DE gene count N for k_f was not itself swept on real data, and because the selection floor (median baseline k_f = 0.025) bounds the detection power of the ω test, N should be read as a working default whose sensitivity remains to be characterized;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ω below the calibration baseline is the counterpart of purifying selection in the analogy and is structurally untestable by the upper-tail default—Bergmann glia (ω_cal ≈ 1.4–1.8) is the leading suspected instance—and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38</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42</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 package default from v0.5.x is the brain order, softmax(log1p(mean counts)), which matches the count-space formula exactly; the reverse order is retained only as a legacy option for reproducing the mouse and human pilots. Calibration constants are pipeline-internal and must not be transferred across pipelines: an ω calibrated under one aggregation order is not comparable to an ω computed under the other.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43</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These P &gt; 0.9 values coexist with cluster-bootstrap CIs that exclude 1 in four of five cancer types, and the two are not contradictory: the permutation null tests exchangeability of tumor and normal labels at the aggregate level under a fixed identity panel—a test with essentially no power here, because aggregate k_n sits at the denominator floor in 3 of 5 cancer types—whereas the bootstrap CIs quantify the sampling uncertainty of the within-cancer NN/TT pairing structure. The aggregate-level permutation test is accordingly uninformative for the reversal claim, which rests on the pair-level cluster bootstrap.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44</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45</w:t>
      </w:r>
      <w:r>
        <w:rPr>
          <w:rFonts w:ascii="Arial" w:hAnsi="Arial"/>
          <w:b w:val="0"/>
          <w:i w:val="0"/>
          <w:color w:val="000000"/>
          <w:sz w:val="22"/>
        </w:rPr>
        <w:t xml:space="preserve"> with flavor="seurat" </w:t>
      </w:r>
      <w:r>
        <w:rPr>
          <w:rFonts w:ascii="Arial" w:hAnsi="Arial"/>
          <w:b w:val="0"/>
          <w:i w:val="0"/>
          <w:color w:val="000000"/>
          <w:sz w:val="22"/>
          <w:vertAlign w:val="superscript"/>
        </w:rPr>
        <w:t>46,47</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accessed via CZ CELLxGENE Discover </w:t>
      </w:r>
      <w:r>
        <w:rPr>
          <w:rFonts w:ascii="Arial" w:hAnsi="Arial"/>
          <w:b w:val="0"/>
          <w:i w:val="0"/>
          <w:color w:val="000000"/>
          <w:sz w:val="22"/>
          <w:vertAlign w:val="superscript"/>
        </w:rPr>
        <w:t>48</w:t>
      </w:r>
      <w:r>
        <w:rPr>
          <w:rFonts w:ascii="Arial" w:hAnsi="Arial"/>
          <w:b w:val="0"/>
          <w:i w:val="0"/>
          <w:color w:val="000000"/>
          <w:sz w:val="22"/>
        </w:rPr>
        <w:t>.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493 tumor + 76 normal; LUSC: 534 tumor + 58 normal; LIHC: 398 tumor + 57 normal; KIRC: 750 tumor + 82 normal; BRCA: 1010 tumor + 109 normal (3,567 samples entering the pair-level analysis; 29 expression-matrix samples were excluded for missing barcode matching or pair coverage).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52,53</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54</w:t>
      </w:r>
      <w:r>
        <w:rPr>
          <w:rFonts w:ascii="Arial" w:hAnsi="Arial"/>
          <w:b w:val="0"/>
          <w:i w:val="0"/>
          <w:color w:val="000000"/>
          <w:sz w:val="22"/>
        </w:rPr>
        <w:t>: from cBioPortal, 288 tumors. LUAD mutations: from cBioPortal, 492 samples (61 EGFR, 120 KRAS, 311 WT). Sample provenance followed the TCGA barcode sample-source code (positions 14–15): the 32 cell-line-derived LIHC samples (source code CC, ILSBio liver cancer lines) shipped in the LUSC matrix were assigned to LIHC following a barcode audit, and all counts above reflect this corrected assignment.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48</w:t>
      </w:r>
      <w:r>
        <w:rPr>
          <w:rFonts w:ascii="Arial" w:hAnsi="Arial"/>
          <w:b w:val="0"/>
          <w:i w:val="0"/>
          <w:color w:val="000000"/>
          <w:sz w:val="22"/>
        </w:rPr>
        <w:t xml:space="preserve">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95% CIs are the 2.5th and 97.5th percentiles of the resampled ratios.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52,53</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54</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w:t>
      </w:r>
      <w:r>
        <w:rPr>
          <w:rFonts w:ascii="Arial" w:hAnsi="Arial"/>
          <w:b w:val="0"/>
          <w:i w:val="0"/>
          <w:color w:val="000000"/>
          <w:sz w:val="22"/>
          <w:vertAlign w:val="superscript"/>
        </w:rPr>
        <w:t>45</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55</w:t>
      </w:r>
      <w:r>
        <w:rPr>
          <w:rFonts w:ascii="Arial" w:hAnsi="Arial"/>
          <w:b w:val="0"/>
          <w:i w:val="0"/>
          <w:color w:val="000000"/>
          <w:sz w:val="22"/>
        </w:rPr>
        <w:t xml:space="preserve"> ≥ 0.12.0, and scikit-learn </w:t>
      </w:r>
      <w:r>
        <w:rPr>
          <w:rFonts w:ascii="Arial" w:hAnsi="Arial"/>
          <w:b w:val="0"/>
          <w:i w:val="0"/>
          <w:color w:val="000000"/>
          <w:sz w:val="22"/>
          <w:vertAlign w:val="superscript"/>
        </w:rPr>
        <w:t>56</w:t>
      </w:r>
      <w:r>
        <w:rPr>
          <w:rFonts w:ascii="Arial" w:hAnsi="Arial"/>
          <w:b w:val="0"/>
          <w:i w:val="0"/>
          <w:color w:val="000000"/>
          <w:sz w:val="22"/>
        </w:rPr>
        <w:t xml:space="preserve"> ≥ 1.2.0; random seeds were fixed at 42 throughout, except scripts 77/78/79, which used seed 20260903, and the small-cluster studentized bootstrap-t analysis (notebooks/89_cluster_boot_v45.py), which used seed 20260905.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57</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44</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studentized (bootstrap-t) region-clustered intervals pivot the statistic by an influence-function (multiplier) sandwich standard error of the multiplicity-weighted pair mean re-evaluated within each resample, with ratios studentized on the log scale via the delta method (B = 5,000, seed 20260905; Monte Carlo coverage 0.953/0.951 at 6–7 clusters; notebooks/89_cluster_boot_v45.py).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stratified resample counts reported per analysis (B = 200 for the composition cluster bootstrap, 1,000 for TCGA ratio CIs, 2,000 for region-clustered brain intervals, 5,000 for the joint and studentized small-cluster analyses, and 10,000 for simple resampling of pair-level point estimates), with the Monte Carlo error of each interval reported alongside it in the Supplementary Information.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McDonald, J. H. &amp; Kreitman, M. Adaptive protein evolution at the Adh locus in Drosophila.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652–654 (1991).</w:t>
      </w:r>
    </w:p>
    <w:p>
      <w:pPr>
        <w:spacing w:line="276" w:lineRule="auto" w:after="60"/>
      </w:pPr>
      <w:r>
        <w:rPr>
          <w:rFonts w:ascii="Arial" w:hAnsi="Arial"/>
          <w:b w:val="0"/>
          <w:i w:val="0"/>
          <w:color w:val="000000"/>
          <w:sz w:val="20"/>
        </w:rPr>
        <w:t xml:space="preserve">35.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36.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37.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38.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39.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40.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41.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42.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43.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44.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45.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46.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47.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48.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53.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54.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55.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56.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57.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Supplementary Tables 1–19,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counterpart of the synonymous baseline—and identity gene divergence for k_f—the counterpart of nonsynonymous divergence; ω = k_f/k_n quantifies transcriptomic divergence relative to the baseline, read against the empirical calibration baseline rather than against 1.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metric correlation structure on Tabula Sapiens, and functional-change detection in the ground-truth simulation.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discriminating injected functional signal (δ ≥ 0.25) from neutral drift in the semi-synthetic ground-truth simulation (marrow B-cell background; 600 functional versus 250 neutral replicates). CKI ω ranked first of six metrics (AUC = 0.80); independent replication on a skin keratinocyte background gave AUC = 0.91 (rank 1/6).</w:t>
      </w:r>
    </w:p>
    <w:p>
      <w:pPr>
        <w:spacing w:line="276" w:lineRule="auto" w:after="80"/>
        <w:ind w:firstLine="0"/>
      </w:pPr>
      <w:r>
        <w:rPr>
          <w:rFonts w:ascii="Arial" w:hAnsi="Arial"/>
          <w:b w:val="0"/>
          <w:i w:val="0"/>
          <w:color w:val="000000"/>
          <w:sz w:val="22"/>
        </w:rPr>
        <w:t>Figure 3.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4.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