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is a Ka/Ks-inspired index quantifying functional divergence in single-cell genomics</w:t>
      </w:r>
    </w:p>
    <w:p>
      <w:r>
        <w:rPr>
          <w:rFonts w:ascii="Arial" w:hAnsi="Arial"/>
          <w:b w:val="0"/>
          <w:color w:val="000000"/>
          <w:sz w:val="22"/>
        </w:rPr>
        <w:t>Xianming Wu (1), Li Zhang (1,2,*)</w:t>
      </w:r>
    </w:p>
    <w:p>
      <w:r>
        <w:rPr>
          <w:rFonts w:ascii="Arial" w:hAnsi="Arial"/>
          <w:b w:val="0"/>
          <w:color w:val="000000"/>
          <w:sz w:val="22"/>
        </w:rPr>
        <w:t>(1) Chinese Institute for Brain Research, Beijing 102206, China</w:t>
      </w:r>
    </w:p>
    <w:p>
      <w:r>
        <w:rPr>
          <w:rFonts w:ascii="Arial" w:hAnsi="Arial"/>
          <w:b w:val="0"/>
          <w:color w:val="000000"/>
          <w:sz w:val="22"/>
        </w:rPr>
        <w:t>(2) Institute of Blood Transfusion, Chinese Academy of Medical Sciences &amp; Peking Union Medical College, Chengdu 610052,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Non-HK-Anchored Neutral Drift Controls</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Table 5: TCGA Linear-Normalization Robustness</w:t>
      </w:r>
    </w:p>
    <w:p>
      <w:r>
        <w:rPr>
          <w:rFonts w:ascii="Arial" w:hAnsi="Arial"/>
          <w:b w:val="0"/>
          <w:color w:val="000000"/>
          <w:sz w:val="22"/>
        </w:rPr>
        <w:t>Supplementary Table 6: Kang IFN-beta Per-Cell-Type Effects</w:t>
      </w:r>
    </w:p>
    <w:p>
      <w:r>
        <w:rPr>
          <w:rFonts w:ascii="Arial" w:hAnsi="Arial"/>
          <w:b w:val="0"/>
          <w:color w:val="000000"/>
          <w:sz w:val="22"/>
        </w:rPr>
        <w:t>Supplementary Table 7: Target-Detection AUC in Mean-Shift Simulation</w:t>
      </w:r>
    </w:p>
    <w:p>
      <w:r>
        <w:rPr>
          <w:rFonts w:ascii="Arial" w:hAnsi="Arial"/>
          <w:b w:val="0"/>
          <w:color w:val="000000"/>
          <w:sz w:val="22"/>
        </w:rPr>
        <w:t>Supplementary Table 8: Donor-Paired Detection Power</w:t>
      </w:r>
    </w:p>
    <w:p>
      <w:r>
        <w:rPr>
          <w:rFonts w:ascii="Arial" w:hAnsi="Arial"/>
          <w:b w:val="0"/>
          <w:color w:val="000000"/>
          <w:sz w:val="22"/>
        </w:rPr>
        <w:t>Supplementary Table 9: Kang Batch-1 Technical-Replicate Calibration</w:t>
      </w:r>
    </w:p>
    <w:p>
      <w:r>
        <w:rPr>
          <w:rFonts w:ascii="Arial" w:hAnsi="Arial"/>
          <w:b w:val="0"/>
          <w:color w:val="000000"/>
          <w:sz w:val="22"/>
        </w:rPr>
        <w:t>Supplementary Table 10: Brain Drift Ladder by Tier and Metric</w:t>
      </w:r>
    </w:p>
    <w:p>
      <w:r>
        <w:rPr>
          <w:rFonts w:ascii="Arial" w:hAnsi="Arial"/>
          <w:b w:val="0"/>
          <w:color w:val="000000"/>
          <w:sz w:val="22"/>
        </w:rPr>
        <w:t>Supplementary Table 11: Pan-Cancer NN/TT Ratios</w:t>
      </w:r>
    </w:p>
    <w:p>
      <w:r>
        <w:rPr>
          <w:rFonts w:ascii="Arial" w:hAnsi="Arial"/>
          <w:b w:val="0"/>
          <w:color w:val="000000"/>
          <w:sz w:val="22"/>
        </w:rPr>
        <w:t>Supplementary Table 12: LUAD Driver-Group Means</w:t>
      </w:r>
    </w:p>
    <w:p>
      <w:r>
        <w:rPr>
          <w:rFonts w:ascii="Arial" w:hAnsi="Arial"/>
          <w:b w:val="0"/>
          <w:color w:val="000000"/>
          <w:sz w:val="22"/>
        </w:rPr>
        <w:t>Supplementary Table 13: LUAD Pairwise Contrasts</w:t>
      </w:r>
    </w:p>
    <w:p>
      <w:r>
        <w:rPr>
          <w:rFonts w:ascii="Arial" w:hAnsi="Arial"/>
          <w:b w:val="0"/>
          <w:color w:val="000000"/>
          <w:sz w:val="22"/>
        </w:rPr>
        <w:t>Supplementary Table 14: LIHC Overall-Survival Cox Models</w:t>
      </w:r>
    </w:p>
    <w:p>
      <w:r>
        <w:rPr>
          <w:rFonts w:ascii="Arial" w:hAnsi="Arial"/>
          <w:b w:val="0"/>
          <w:color w:val="000000"/>
          <w:sz w:val="22"/>
        </w:rPr>
        <w:t>Supplementary Table 15: Purity Sensitivity of the Pan-Cancer Reversal</w:t>
      </w:r>
    </w:p>
    <w:p>
      <w:r>
        <w:rPr>
          <w:rFonts w:ascii="Arial" w:hAnsi="Arial"/>
          <w:b w:val="0"/>
          <w:color w:val="000000"/>
          <w:sz w:val="22"/>
        </w:rPr>
        <w:t>Supplementary Table 16: LUAD Admixture-Adjusted Contrasts</w:t>
      </w:r>
    </w:p>
    <w:p>
      <w:r>
        <w:rPr>
          <w:rFonts w:ascii="Arial" w:hAnsi="Arial"/>
          <w:b w:val="0"/>
          <w:color w:val="000000"/>
          <w:sz w:val="22"/>
        </w:rPr>
        <w:t>Supplementary Table 17: LUAD Smoking-Covariate Adjustment</w:t>
      </w:r>
    </w:p>
    <w:p>
      <w:r>
        <w:rPr>
          <w:rFonts w:ascii="Arial" w:hAnsi="Arial"/>
          <w:b w:val="0"/>
          <w:color w:val="000000"/>
          <w:sz w:val="22"/>
        </w:rPr>
        <w:t>Supplementary Table 18: TCGA Clinical-Severity Gradients</w:t>
      </w:r>
    </w:p>
    <w:p>
      <w:r>
        <w:rPr>
          <w:rFonts w:ascii="Arial" w:hAnsi="Arial"/>
          <w:b w:val="0"/>
          <w:color w:val="000000"/>
          <w:sz w:val="22"/>
        </w:rPr>
        <w:t>Supplementary Table 19: Brain min-cells Threshold Sensitivity</w:t>
      </w:r>
    </w:p>
    <w:p>
      <w:r>
        <w:rPr>
          <w:rFonts w:ascii="Arial" w:hAnsi="Arial"/>
          <w:b w:val="0"/>
          <w:color w:val="000000"/>
          <w:sz w:val="22"/>
        </w:rPr>
        <w:t>Supplementary Data 1: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 (a gene-set configuration criterion only; CKI itself is not designed for cell-type discrimination—see the main-text Discussion).</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and the correspondence is threefold: synonymous-site divergence (Ks) corresponds to HK-gene divergence (k_n), nonsynonymous divergence (Ka) to functional-gene divergence (k_f), and a species pair to the two cell populations compared (main-text Discussion), with a constrained rather than neutral reference class; completing the McDonald–Kreitman-style contrast, the split-half calibration baseline (within-population ω ≈ 7.70) stands in for the polymorphism class, so ω_cal = ω/7.70 parallels the direction of the neutrality index and inherits its caveats.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 (4) Ka/Ks counts all nonsynonymous sites, whereas the k_f numerator is computed on a per-pair top-200 selection of the most diverged genes—an ascertainment asymmetry on the Ka side (in MK terms, counting only the amino-acid sites already known to differ), quantified by the circularity analyses (median inflation 1.61×; leave-pair-out ρ = 0.92–0.94; ω as upper bound; Supplementary Note 7) and handled statistically by the gene-reselecting permutation nulls.</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20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5). Scripts: notebooks/85_tcga_linear_norm_v44.py (main pipeline and clinical severity) and notebooks/86_tcga_composition_linear_norm_v44.py (composition sensitivity);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benchmark performance assessment (parameter sweep and functional-change detection).</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7).</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8).</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9; the replication is shown in main-text Fig. 3d.</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10; main-text Fig. 3b,c.</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11–17). Per-tumor statistics are the mean of ω, k_f, and k_n over all pairs in the linear-normalization pair table (35,306 pairs; authoritative file: results/tcga_linear_norm_v44_all_pairs.csv) in which a sample participates; per-sample values are not archived as a separate file and are rebuilt from that pair table plus the cBioPortal mutation labels by notebooks/nc49_tcga_main.py (Reproducibility Guide, Section 5.10c). Group-level ratios carry sample-level cluster bootstrap 95% CIs (B = 1,000; seed 42; tumor and normal samples resampled with replacement independently, each pair reweighted by the product of its endpoint resampling weights). LUAD driver groups (61 EGFR, 120 KRAS, 311 wild-type; 2 double mutants excluded) were tested with Kruskal-Wallis followed by Dunn post-hoc tests with Holm correction (manual implementation, tie-corrected rank variances); group mean differences carry within-group bootstrap 95% CIs (B = 1,000). Because per-tumor ω averages overlapping (non-disjoint) pair sets, the group tests were additionally re-run as whole-tumor label-permutation tests (B = 10,000, seed 42): KW P = 0.0001; KRAS–WT P = 0.0001, KRAS–EGFR P = 0.003, EGFR–WT P = 0.21 — the published ordering and significance pattern is preserved (notebooks/93_luad_group_permutation_v49.py; output: results/nc49_tcga_luad_mutation_perm.csv). The KRAS contrast was also re-evaluated on the log-ω scale: adjusted KRAS/WT ratio 1.19, bootstrap 95% CI [1.12, 1.26], so the adjustment conclusion is scale-robust (notebooks/98_luad_logomega_sensitivity_v49.py; output: results/nc49_tcga_luad_logomega_sensitivity.csv). The LIHC survival analysis used Cox proportional-hazards regression (statsmodels PHReg) with per-tumor ω standardized to unit SD (hazard ratios per SD), adjusted for AJCC stage (I-IV), Edmondson grade (G1-G4), age, and sex (listwise deletion of missing covariates), with k_f-only, k_n-only, and tumor-normal-ω exposures as sensitivity models (Supplementary Table 14).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notebooks/nc49_tcga_main.py (seed 42), notebooks/nc49_pilot_lihc_cox.py, notebooks/nc49_tcga_purity.py, notebooks/nc49_tcga_luad_smoking.py, notebooks/nc49_tcga_kf_composition.py; outputs: results/nc49_tcga_pancancer.csv, results/nc49_tcga_luad_mutation.csv, results/nc49_pilot_lihc_cox.csv,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Tables 12 and 13).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~84% of the log-ω gap;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Tables 15–17):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15), so the pan-cancer reversal is not an admixture artefact. In LUAD, admixture differed across driver groups (highest in EGFR-mutant tumors), and OLS adjustment for admixture abolished the EGFR-wild-type differences while preserving both KRAS-wild-type components (Supplementary Table 16); smoking status (ever/never, available for 427 of 492 LUAD tumors, 87%) was strongly confounded with driver group but did not carry the divergence association (Supplementary Table 17).</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entering the pair-level analysis (29 expression-matrix samples were excluded for missing barcode matching or pair coverage).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(softmax caliber; superseded by the linear-normalization update at the end of this note, the authoritative caliber for the regression and correlation estimates cited in the manuscript),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(authoritative caliber). The composition check was re-run on the linear-normalization pair table of Section 1.7 (script notebooks/86_tcga_composition_linear_norm_v44.py, mirroring script 74 with the four marker panels and the sample-level cluster bootstrap, B = 200; outputs results/tcga_composition_v44.{csv,txt}); the run reported here reflects the CC/RG barcode reassignment (32 ILSBio cell-line tumours moved from LUSC to LIHC by the TSS-code audit described in the Methods; the pre-reassignment run is archived as results/superseded/tcga_composition_v44_pre_cc_fix_rerun.{csv,txt}). All conclusions are unchanged: tumor–tumor pairs show larger composition differences than normal–normal pairs (median |Δz| 1.305-fold for the three-panel composite, P = 3.57 × 10⁻¹³⁷, and 1.216-fold with the myeloid panel included, P = 1.28 × 10⁻⁶⁶; the myeloid panel alone shows no tumour excess, ratio 0.989, P = 0.998); pooled four-panel attenuation −1.3% (cluster-bootstrap median −1.2%, 95% CI [−5.0%, +2.3%]); per-cancer attenuation LIHC +31.7% [+21.0%, +45.3%], KIRC +19.4% [+14.7%, +23.9%], BRCA −15.9% [−23.9%, −7.9%], LUAD −2.3%, LUSC −9.5%; the within-TT correlation of k_n with the composition difference is Spearman ρ = 0.364 pooled (n = 10,000 pairs, P &lt; 10⁻³⁰⁰; per-cancer 0.196–0.513, each n = 2,000, all P ≤ 7.7 × 10⁻¹⁹). Composition covariates still absorb a substantial share of the tumor-pair coefficient in LIHC and KIRC but not in the other cancer types, and the pooled near-zero estimate still masks this heterogeneity. These linear-normalization estimates are the ones cited in the manuscript.</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1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(78.2, 76.8, 77.9, 72.6 for G1–G4; Jonckheere-Terpstra P ≈ 0), but k_f increases with grade (JT P = 6.9 × 10⁻¹⁵)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4b), and the full values and test details are given in Supplementary Table 18. The k_f-only controls are post-hoc; the P-values reported here (three severity analyses crossed with three metrics) are nominal and carry no multiplicity correction. Scripts: notebooks/83_kf_only_ordering.py (published softmax run) and notebooks/85_tcga_linear_norm_v44.py (linear re-analysis); outputs: results/kf_only_ordering.csv, results/kf_only_ordering.json, results/kf_only_severity.csv, results/kf_only_ordering.txt, results/tcga_clinical_severity_v44.csv.</w:t>
      </w:r>
    </w:p>
    <w:p>
      <w:pPr>
        <w:pStyle w:val="Heading2"/>
      </w:pPr>
      <w:r>
        <w:t>Supplementary Note 10: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 The min-cells threshold sweep is given in Supplementary Table 19.</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rPr>
          <w:rFonts w:ascii="Arial" w:hAnsi="Arial"/>
          <w:b w:val="0"/>
          <w:color w:val="000000"/>
          <w:sz w:val="22"/>
        </w:rPr>
        <w:t>Donor-stratified null transparency. The per-class detail behind the manuscript statement that 3 of 10 classes survive the donor-stratified null is tabulated in results/nc49_donor_stratified_table.csv: for each class it lists the permutation P-value and BH q-value both with and without donor stratification, the number of shufflable libraries (libraries belonging to donors with more than one library; single-library donors are fixed by design), the per-donor library counts, and the exact probability that a random donor-stratified shuffle returns the identity assignment — the analytic floor on the attainable one-sided P-value, since the permutation engine retains identity draws as valid. That floor is negligible for every class (identity-permutation share at most 4.8 × 10⁻²³¹), so the nulls are not degenerate; the three surviving classes are astrocytes (stratified q = 0.005), oligodendrocyte precursors (0.005), and committed oligodendrocyte precursors (0.043). Script: notebooks/97_donor_stratified_table_v49.py.</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w:t>
      </w:r>
    </w:p>
    <w:p>
      <w:r>
        <w:rPr>
          <w:rFonts w:ascii="Arial" w:hAnsi="Arial"/>
          <w:b w:val="0"/>
          <w:color w:val="000000"/>
          <w:sz w:val="22"/>
        </w:rPr>
        <w:t>Augur (Skinnider et al., Nat. Biotechnol. 2021; main-text ref. 37)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implementation—we note that this is the port’s self-reported benchmark rather than an independent validation by us.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a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 The two variants were specified before comparing against CKI, and both are reported below.</w:t>
      </w:r>
    </w:p>
    <w:p>
      <w:r>
        <w:rPr>
          <w:rFonts w:ascii="Arial" w:hAnsi="Arial"/>
          <w:b w:val="0"/>
          <w:color w:val="000000"/>
          <w:sz w:val="22"/>
        </w:rPr>
        <w:t>Under the confound-controlled binary one-vs-rest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this pattern is consistent with, but does not establish, a shared basis in HK-anchored divergence—the two methods are complementary rather than redundant. The multiclass variant is reported as a sensitivity analysis alongside the above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