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a Ka/Ks-inspired index decomposing functional divergence from baseline variation in cell atlases</w:t>
      </w:r>
    </w:p>
    <w:p>
      <w:r>
        <w:rPr>
          <w:rFonts w:ascii="Arial" w:hAnsi="Arial"/>
          <w:b w:val="0"/>
          <w:color w:val="000000"/>
          <w:sz w:val="22"/>
        </w:rPr>
        <w:t>Wenting Liu (1), Jian Zu (1), Li Zhang (2,3,4,*)</w:t>
      </w:r>
    </w:p>
    <w:p>
      <w:r>
        <w:rPr>
          <w:rFonts w:ascii="Arial" w:hAnsi="Arial"/>
          <w:b w:val="0"/>
          <w:color w:val="000000"/>
          <w:sz w:val="22"/>
        </w:rPr>
        <w:t>(1) School of Mathematics and Statistics, Xi'an Jiaotong University, Xi'an 710049, China</w:t>
      </w:r>
    </w:p>
    <w:p>
      <w:r>
        <w:rPr>
          <w:rFonts w:ascii="Arial" w:hAnsi="Arial"/>
          <w:b w:val="0"/>
          <w:color w:val="000000"/>
          <w:sz w:val="22"/>
        </w:rPr>
        <w:t>(2) Chinese Institute for Brain Research, Beijing 102206, China</w:t>
      </w:r>
    </w:p>
    <w:p>
      <w:r>
        <w:rPr>
          <w:rFonts w:ascii="Arial" w:hAnsi="Arial"/>
          <w:b w:val="0"/>
          <w:color w:val="000000"/>
          <w:sz w:val="22"/>
        </w:rPr>
        <w:t>(3) Institute of Blood Transfusion, Chinese Academy of Medical Sciences &amp; Peking Union Medical College, Chengdu 610052, China</w:t>
      </w:r>
    </w:p>
    <w:p>
      <w:r>
        <w:rPr>
          <w:rFonts w:ascii="Arial" w:hAnsi="Arial"/>
          <w:b w:val="0"/>
          <w:color w:val="000000"/>
          <w:sz w:val="22"/>
        </w:rPr>
        <w:t>(4) Translational Medical Center, Weifang Second People's Hospital, Weifang 261041,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k_f-only Ordering Controls (Cross-Organ Ranking and TCGA Severity)</w:t>
      </w:r>
    </w:p>
    <w:p>
      <w:r>
        <w:rPr>
          <w:rFonts w:ascii="Arial" w:hAnsi="Arial"/>
          <w:b w:val="0"/>
          <w:color w:val="000000"/>
          <w:sz w:val="22"/>
        </w:rPr>
        <w:t>Supplementary Note 6: Non-HK-Anchored Neutral Drift Controls</w:t>
      </w:r>
    </w:p>
    <w:p>
      <w:r>
        <w:rPr>
          <w:rFonts w:ascii="Arial" w:hAnsi="Arial"/>
          <w:b w:val="0"/>
          <w:color w:val="000000"/>
          <w:sz w:val="22"/>
        </w:rPr>
        <w:t>Supplementary Note 7: Human-Brain Sanity Check on the Microglia Supercluster</w:t>
      </w:r>
    </w:p>
    <w:p>
      <w:r>
        <w:rPr>
          <w:rFonts w:ascii="Arial" w:hAnsi="Arial"/>
          <w:b w:val="0"/>
          <w:color w:val="000000"/>
          <w:sz w:val="22"/>
        </w:rPr>
        <w:t>Supplementary Note 8: Real Perturbation Demonstration (Kang et al. IFN-beta PBMC)</w:t>
      </w:r>
    </w:p>
    <w:p>
      <w:r>
        <w:rPr>
          <w:rFonts w:ascii="Arial" w:hAnsi="Arial"/>
          <w:b w:val="0"/>
          <w:color w:val="000000"/>
          <w:sz w:val="22"/>
        </w:rPr>
        <w:t>Supplementary Note 9: Fixed Gene-Panel Ablation</w:t>
      </w:r>
    </w:p>
    <w:p>
      <w:r>
        <w:rPr>
          <w:rFonts w:ascii="Arial" w:hAnsi="Arial"/>
          <w:b w:val="0"/>
          <w:color w:val="000000"/>
          <w:sz w:val="22"/>
        </w:rPr>
        <w:t>Supplementary Note 10: TCGA composition-contribution check for the NN/TT k_n reversal</w:t>
      </w:r>
    </w:p>
    <w:p>
      <w:r>
        <w:rPr>
          <w:rFonts w:ascii="Arial" w:hAnsi="Arial"/>
          <w:b w:val="0"/>
          <w:color w:val="000000"/>
          <w:sz w:val="22"/>
        </w:rPr>
        <w:t>Supplementary Note 11: Brain Class-Size Confounding Controls and min-cells Threshold Sensitivity</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Region Glossary (Siletti et al. Dissection Nomenclature)</w:t>
      </w:r>
    </w:p>
    <w:p>
      <w:r>
        <w:rPr>
          <w:rFonts w:ascii="Arial" w:hAnsi="Arial"/>
          <w:b w:val="0"/>
          <w:color w:val="000000"/>
          <w:sz w:val="22"/>
        </w:rPr>
        <w:t>Supplementary Note 14: Brain set-level enrichment of the block-shuffle signal (post-hoc)</w:t>
      </w:r>
    </w:p>
    <w:p>
      <w:r>
        <w:rPr>
          <w:rFonts w:ascii="Arial" w:hAnsi="Arial"/>
          <w:b w:val="0"/>
          <w:color w:val="000000"/>
          <w:sz w:val="22"/>
        </w:rPr>
        <w:t>Supplementary Note 15: Comparison with Augur Cell-Type Prioritization</w:t>
      </w:r>
    </w:p>
    <w:p>
      <w:r>
        <w:rPr>
          <w:rFonts w:ascii="Arial" w:hAnsi="Arial"/>
          <w:b w:val="0"/>
          <w:color w:val="000000"/>
          <w:sz w:val="22"/>
        </w:rPr>
        <w:t>Supplementary Note 16: JS Divergence Dimensionality Invariance</w:t>
      </w:r>
    </w:p>
    <w:p>
      <w:r>
        <w:rPr>
          <w:rFonts w:ascii="Arial" w:hAnsi="Arial"/>
          <w:b w:val="0"/>
          <w:color w:val="000000"/>
          <w:sz w:val="22"/>
        </w:rPr>
        <w:t>Supplementary Note 17: Lineage-Distance Validation across Atlases</w:t>
      </w:r>
    </w:p>
    <w:p>
      <w:r>
        <w:rPr>
          <w:rFonts w:ascii="Arial" w:hAnsi="Arial"/>
          <w:b w:val="0"/>
          <w:color w:val="000000"/>
          <w:sz w:val="22"/>
        </w:rPr>
        <w:t>Supplementary Note 18: Neuronal Superclass Regional Divergence and Block-Shuffle Control</w:t>
      </w:r>
    </w:p>
    <w:p>
      <w:r>
        <w:rPr>
          <w:rFonts w:ascii="Arial" w:hAnsi="Arial"/>
          <w:b w:val="0"/>
          <w:color w:val="000000"/>
          <w:sz w:val="22"/>
        </w:rPr>
        <w:t>Supplementary Note 19: Program-Level Diffuseness and a Sub-Threshold Disease Anchor</w:t>
      </w:r>
    </w:p>
    <w:p>
      <w:r>
        <w:rPr>
          <w:rFonts w:ascii="Arial" w:hAnsi="Arial"/>
          <w:b w:val="0"/>
          <w:color w:val="000000"/>
          <w:sz w:val="22"/>
        </w:rPr>
        <w:t>Supplementary Note 20: A Scoped Theoretical Framework for ω</w:t>
      </w:r>
    </w:p>
    <w:p>
      <w:r>
        <w:rPr>
          <w:rFonts w:ascii="Arial" w:hAnsi="Arial"/>
          <w:b w:val="0"/>
          <w:color w:val="000000"/>
          <w:sz w:val="22"/>
        </w:rPr>
        <w:t>Supplementary Methods</w:t>
      </w:r>
    </w:p>
    <w:p>
      <w:r>
        <w:rPr>
          <w:rFonts w:ascii="Arial" w:hAnsi="Arial"/>
          <w:b w:val="0"/>
          <w:color w:val="000000"/>
          <w:sz w:val="22"/>
        </w:rPr>
        <w:t>Supplementary Table 1: Parameter Sweep Results</w:t>
      </w:r>
    </w:p>
    <w:p>
      <w:r>
        <w:rPr>
          <w:rFonts w:ascii="Arial" w:hAnsi="Arial"/>
          <w:b w:val="0"/>
          <w:color w:val="000000"/>
          <w:sz w:val="22"/>
        </w:rPr>
        <w:t>Supplementary Table 2: Detection Performance in Mean-Shift Simulations</w:t>
      </w:r>
    </w:p>
    <w:p>
      <w:r>
        <w:rPr>
          <w:rFonts w:ascii="Arial" w:hAnsi="Arial"/>
          <w:b w:val="0"/>
          <w:color w:val="000000"/>
          <w:sz w:val="22"/>
        </w:rPr>
        <w:t>Supplementary Table 3: Kang IFN-beta Technical Replicates and Per-Cell-Type Effects</w:t>
      </w:r>
    </w:p>
    <w:p>
      <w:r>
        <w:rPr>
          <w:rFonts w:ascii="Arial" w:hAnsi="Arial"/>
          <w:b w:val="0"/>
          <w:color w:val="000000"/>
          <w:sz w:val="22"/>
        </w:rPr>
        <w:t>Supplementary Table 4: Brain Drift Ladder by Tier and Metric</w:t>
      </w:r>
    </w:p>
    <w:p>
      <w:r>
        <w:rPr>
          <w:rFonts w:ascii="Arial" w:hAnsi="Arial"/>
          <w:b w:val="0"/>
          <w:color w:val="000000"/>
          <w:sz w:val="22"/>
        </w:rPr>
        <w:t>Supplementary Table 5: Pan-Cancer NN/TT Ratios</w:t>
      </w:r>
    </w:p>
    <w:p>
      <w:r>
        <w:rPr>
          <w:rFonts w:ascii="Arial" w:hAnsi="Arial"/>
          <w:b w:val="0"/>
          <w:color w:val="000000"/>
          <w:sz w:val="22"/>
        </w:rPr>
        <w:t>Supplementary Table 6: LUAD Driver-Group Statistics</w:t>
      </w:r>
    </w:p>
    <w:p>
      <w:r>
        <w:rPr>
          <w:rFonts w:ascii="Arial" w:hAnsi="Arial"/>
          <w:b w:val="0"/>
          <w:color w:val="000000"/>
          <w:sz w:val="22"/>
        </w:rPr>
        <w:t>Supplementary Table 7: Adjustment and Sensitivity Models for Driver Associations</w:t>
      </w:r>
    </w:p>
    <w:p>
      <w:r>
        <w:rPr>
          <w:rFonts w:ascii="Arial" w:hAnsi="Arial"/>
          <w:b w:val="0"/>
          <w:color w:val="000000"/>
          <w:sz w:val="22"/>
        </w:rPr>
        <w:t>Supplementary Table 8: TCGA Robustness: NN/TT Reversal and Survival Models</w:t>
      </w:r>
    </w:p>
    <w:p>
      <w:r>
        <w:rPr>
          <w:rFonts w:ascii="Arial" w:hAnsi="Arial"/>
          <w:b w:val="0"/>
          <w:color w:val="000000"/>
          <w:sz w:val="22"/>
        </w:rPr>
        <w:t>Supplementary Table 9: Cross-Organ Conservation Data</w:t>
      </w:r>
    </w:p>
    <w:p>
      <w:r>
        <w:rPr>
          <w:rFonts w:ascii="Arial" w:hAnsi="Arial"/>
          <w:b w:val="0"/>
          <w:color w:val="000000"/>
          <w:sz w:val="22"/>
        </w:rPr>
        <w:t>Supplementary Table 10: Human Brain Non-neuronal Cell Regional CKI Data</w:t>
      </w:r>
    </w:p>
    <w:p>
      <w:r>
        <w:rPr>
          <w:rFonts w:ascii="Arial" w:hAnsi="Arial"/>
          <w:b w:val="0"/>
          <w:color w:val="000000"/>
          <w:sz w:val="22"/>
        </w:rPr>
        <w:t>Supplementary Table 11: Neuronal Superclass Pair Data and Block-Shuffle Test</w:t>
      </w:r>
    </w:p>
    <w:p>
      <w:r>
        <w:rPr>
          <w:rFonts w:ascii="Arial" w:hAnsi="Arial"/>
          <w:b w:val="0"/>
          <w:color w:val="000000"/>
          <w:sz w:val="22"/>
        </w:rPr>
        <w:t>Supplementary Table 12: Inter-regional Region-Associated Candidate Data</w:t>
      </w:r>
    </w:p>
    <w:p>
      <w:r>
        <w:rPr>
          <w:rFonts w:ascii="Arial" w:hAnsi="Arial"/>
          <w:b w:val="0"/>
          <w:color w:val="000000"/>
          <w:sz w:val="22"/>
        </w:rPr>
        <w:t>Supplementary Table 13: Brain min-cells Threshold Sensitivity</w:t>
      </w:r>
    </w:p>
    <w:p>
      <w:r>
        <w:rPr>
          <w:rFonts w:ascii="Arial" w:hAnsi="Arial"/>
          <w:b w:val="0"/>
          <w:color w:val="000000"/>
          <w:sz w:val="22"/>
        </w:rPr>
        <w:t>Supplementary Table 14: SEA-AD Disease-Anchor Check</w:t>
      </w:r>
    </w:p>
    <w:p>
      <w:r>
        <w:rPr>
          <w:rFonts w:ascii="Arial" w:hAnsi="Arial"/>
          <w:b w:val="0"/>
          <w:color w:val="000000"/>
          <w:sz w:val="22"/>
        </w:rPr>
        <w:t>Supplementary Table 15: TCGA Clinical-Severity Gradients</w:t>
      </w:r>
    </w:p>
    <w:p>
      <w:r>
        <w:rPr>
          <w:rFonts w:ascii="Arial" w:hAnsi="Arial"/>
          <w:b w:val="0"/>
          <w:color w:val="000000"/>
          <w:sz w:val="22"/>
        </w:rPr>
        <w:t>Supplementary Table 16: Tabula Sapiens Lineage-Distance Pair Data</w:t>
      </w:r>
    </w:p>
    <w:p>
      <w:r>
        <w:rPr>
          <w:rFonts w:ascii="Arial" w:hAnsi="Arial"/>
          <w:b w:val="0"/>
          <w:color w:val="000000"/>
          <w:sz w:val="22"/>
        </w:rPr>
        <w:t>Supplementary Table 17: Siletti Brain Lineage-Distance Pair Data</w:t>
      </w:r>
    </w:p>
    <w:p>
      <w:r>
        <w:rPr>
          <w:rFonts w:ascii="Arial" w:hAnsi="Arial"/>
          <w:b w:val="0"/>
          <w:color w:val="000000"/>
          <w:sz w:val="22"/>
        </w:rPr>
        <w:t>Supplementary Data 1: Analysis Script Index</w:t>
      </w:r>
    </w:p>
    <w:p>
      <w:r>
        <w:rPr>
          <w:rFonts w:ascii="Arial" w:hAnsi="Arial"/>
          <w:b w:val="0"/>
          <w:color w:val="000000"/>
          <w:sz w:val="22"/>
        </w:rPr>
        <w:t>Supplementary Figures (legends for Supplementary Figs. 1-9)</w:t>
      </w:r>
    </w:p>
    <w:p>
      <w:r>
        <w:rPr>
          <w:rFonts w:ascii="Arial" w:hAnsi="Arial"/>
          <w:b w:val="0"/>
          <w:color w:val="000000"/>
          <w:sz w:val="22"/>
        </w:rPr>
        <w:t>Supplementary Tables 1-17 are provided as a single workbook (CKI_Supplementary_Tables_NC.xlsx, sheets Table 1-17 in numeric order); in-text references in this document appear at first use, so mention order follows the narrative rather than table numbering.</w:t>
      </w:r>
    </w:p>
    <w:p>
      <w:r>
        <w:rPr>
          <w:rFonts w:ascii="Arial" w:hAnsi="Arial"/>
          <w:b w:val="0"/>
          <w:color w:val="000000"/>
          <w:sz w:val="22"/>
        </w:rPr>
        <w:t>Roadmap. Readers short on time can navigate by question. Specificity and ground-truth behaviour of ω: Supplementary Notes 1, 6, 7. Calibration, ratio-estimator properties, and interval coverage: Notes 2–4. Ordering and component controls (k_f-only, k_n-only): Note 5. Real-perturbation demonstration and fixed-panel ablation: Notes 8, 9. TCGA mechanism and composition checks: Note 10. Brain analyses (class-size controls, pseudo-region null, region glossary, set-level enrichment, Augur comparison, lineage distance, neuronal superclasses): Notes 11–15, 17, 18. Program-level diffuseness and the disease-anchor positive control: Note 19. Theory (generative model, estimand, conditions C1–C4, and what the HK denominator adds): Note 20. JS dimensionality invariance: Note 16. Procedural detail: Supplementary Methods 5.1–5.14.</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JS also admits an exact chain decomposition over disjoint gene blocks (the JS of the concatenated vectors equals the mass-weighted sum of within-block JS values plus the JS of the block-mass vectors), but CKI deliberately does not rely on it: the HK and identity subsets are independently re-normalized within each subset before JS is evaluated, so k_n and k_f are two self-normalized reference rates and ω is their contrast ratio—not an additive decomposition of the whole-transcriptome JS into components, and no cross-subset additivity is assumed or required.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Two clarifications delimit this reading. First, k_n is an operational baseline readout—the JS divergence observed on the HK panel—rather than a fitted parameter of an explicit noise model; no variance decomposition into technical and biological components is assumed or required, and “baseline noise” is shorthand for the aggregate of all HK-panel divergence sources listed above. Second, the reading rests on the exchangeability premise that HK genes behave interchangeably between biologically equivalent populations; that premise is exercised directly by the non-HK-anchored drift controls, which show that ω’s specificity does not depend on the drift being HK-anchored (Supplementary Note 6), and by the split-half calibration baseline, which empirically measures within-population HK divergence (Supplementary Note 3).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 (a gene-set configuration criterion only; CKI itself is not designed for cell-type discrimination—see the main-text Discussion).</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and the correspondence is threefold: synonymous-site divergence (Ks) corresponds to HK-gene divergence (k_n), nonsynonymous divergence (Ka) to functional-gene divergence (k_f), and a species pair to the two cell populations compared (main-text Discussion), with a constrained rather than neutral reference class; completing the McDonald–Kreitman-style contrast, the split-half calibration baseline (within-population ω ≈ 7.70) stands in for the polymorphism class, so ω_cal = ω/7.70 parallels the reciprocal of the neutrality index (the α-direction of the McDonald–Kreitman contrast) and inherits its caveats; the split-half denominator measures within-population sampling and technical variability rather than standing between-individual variation, so it is a lower bound on the polymorphism class and ω_cal is biased upward accordingly. The inversion is structural rather than incidental: in Ka/Ks the denominator (Ks) is a putatively neutral standard, whereas the HK anchor is itself the most strongly constrained expression class—as if synonymous sites were selected along one lineage, where dN/dS loses its interpretation. The TCGA pan-cancer reversal, in which the denominator shifts 1.3–3.3-fold with disease state, is the empirical demonstration of that failure mode; the per-class split-half baselines (a 1.65-fold spread) are the analogue of dS varying across lineages, handled in molecular evolution by branch models and here by per-class calibration. Sensitivity analysis with alternative low-variance gene sets (r &gt; 0.95) partially mitigates the empirical-definition concern; CKI also lacks a formal phylogenetic framework (e.g., Ornstein-Uhlenbeck models).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 (4) Ka/Ks counts all nonsynonymous sites, whereas the k_f numerator is computed on a per-pair top-200 selection of the most diverged genes—an ascertainment asymmetry on the Ka side (in MK terms, counting only the amino-acid sites already known to differ), quantified by the circularity analyses (median inflation 1.61×; leave-pair-out ρ = 0.92–0.94; ω as upper bound; Supplementary Note 9) and handled statistically by the gene-reselecting permutation nulls. Three boundary statements complete the interpretation. First, ω = 1 is the expectation under a full-matching null (k_f = k_n), not a theorem: the empirical equivalent-population baseline is 7.70 rather than 1, so ω = 1 in fact marks strong functional constraint relative to baseline drift. The degenerate case k_n = k_f = 0 is excluded by the positivity guard (minimum observed per-pair k_n 9.2e-5; Section 1.1); were it encountered, ω would be undefined rather than interpretable evidence. Second, the statement that an internal baseline “normalizes away shared variation” holds under four conditions—(i) a small-displacement chi-square approximation, JS ≈ (1/(8 ln 2)) Σ (Δp)²/m, under which shared multiplicative shifts cancel in the ratio; (ii) HK exchangeability between biologically equivalent populations (Supplementary Note 6); (iii) a fixed gene panel within each comparison; and (iv) negligible dimensionality mismatch between the numerator and denominator panels (Supplementary Note 16); outside these conditions ω is read empirically against the calibration baseline rather than as an exact normalization. Third, a low ω has two mechanistically distinct sources—a decreased numerator (functional constraint: the groups are unusually similar in identity genes) or an increased denominator (elevated baseline noise, as in the TCGA reversal)—with opposite biological meanings; a low ω driven purely by numerator decrease at an unchanged denominator still indicates stronger k_f-side constraint, not greater sensitivity to k_f. All low-ω ordering claims in this work are therefore reported together with component-resolved controls (Supplementary Note 5).</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20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8a). Scripts: notebooks/85_tcga_linear_norm_v44.py (linear-normalization pair table) with the v52 ex-CC default chain notebooks/nc52_tcga_excc_main.py (main pipeline and clinical severity; outputs results/nc52_tcga_pancancer_excc.csv, results/nc52_tcga_excc_severity.csv) and notebooks/nc52_tcga_composition_excc.py (composition sensitivity; results/nc52_tcga_composition_excc.{csv,txt}); the softmax-caliber sensitivity used notebooks/nc52_tcga_softmax_pairs.py and notebooks/nc52_tcga_mapping_schemes.py (results/nc52_tcga_softmax_all_pairs.csv, results/nc52_tcga_mapping_schemes_table.csv);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(v0.5.6),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benchmark performance assessment (parameter sweep and functional-change detection).</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(rule-matched null caveat on reading these tail excesses: Supplementary Note 14).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 ω distribution characterization; Supplementary Fig. 8: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6.) Concretely for the regional candidate screen: re-deriving the multiplicative expected-value model and the full Strong rule (residual &lt; 0.3, ω &lt; 15, lowest ω in region pair) on global-k_n ω values yields 107 Strong candidates, of which only 3 of the 39 published Strong candidates persist (36 lost, 104 newly gained; persist fraction 0.077; median |log2 fold change| of ω between estimators 1.14; residual rank correlation ρ = 0.337), so the catalogue is strictly hypothesis-generating (notebooks/nc52_brain_candidate_effectsize.py; results/nc52_brain_candidate_effectsize.csv).</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9.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(v0.5.6),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Because the 300 split-half values are nested within only six populations, intervals treating them as independent ([7.37, 8.02] by t-interval, [7.38, 8.02] by bootstrap with B = 10,000) are pseudo-replicated and anti-conservative; the preferred interval is a two-stage bootstrap (B = 5,000, seed 42) that resamples the six populations first and the 50 split-half values within each drawn population second: 95% CI [6.38, 9.82] (six-population-mean t-interval [5.18, 10.21]; leave-one-population-out range 6.75–8.08), superseding both the pseudo-replicated intervals and the legacy single-split estimate 6.67 [4.24, 9.24]. Per-population means (50 splits each): hepatocyte 12.44 ± 5.98, marrow B cell 7.36 ± 1.39, heart endothelial 7.23 ± 1.59, heart fibroblast 7.00 ± 1.73, spleen B cell 6.38 ± 0.93, marrow neutrophil 5.77 ± 2.67. The calibration constant used throughout this revision is therefore 7.70 [6.38, 9.82]; qualitative calibrated-ω conclusions are unchanged (e.g., brain grand mean 38.5 → ω_cal ≈ 5.0–5.8 under either baseline), but the widened interval (±21% relative half-width) limits ω_cal to roughly one decimal of resolution: ω_cal = 1 is induced by any baseline in [6.38, 9.82] dividing 7.70, so ω_cal differences below ~0.1–0.2 are not meaningful.</w:t>
      </w:r>
    </w:p>
    <w:p>
      <w:r>
        <w:rPr>
          <w:rFonts w:ascii="Arial" w:hAnsi="Arial"/>
          <w:b w:val="0"/>
          <w:color w:val="000000"/>
          <w:sz w:val="22"/>
        </w:rPr>
        <w:t>Leave-one-population-out sensitivity. Removing each control population in turn moves the 50-split baseline within 6.75–8.08 (median-of-population-means 7.12); removing hepatocyte lowers it to 6.75 (−12.3%). All ratio statements are baseline-invariant, but absolute ω_cal magnitudes shift by up to 14% under the outlier-free baseline (Bergmann glia ω_cal 1.76 → 2.01; astrocytes 10.75 → 12.26).</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8).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3b).</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2a).</w:t>
      </w:r>
    </w:p>
    <w:p>
      <w:r>
        <w:rPr>
          <w:rFonts w:ascii="Arial" w:hAnsi="Arial"/>
          <w:b w:val="0"/>
          <w:color w:val="000000"/>
          <w:sz w:val="22"/>
        </w:rPr>
        <w:t>Power formalization (donor-paired design of Supplementary Note 8;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2b).</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3a; the replication is shown in main-text Fig. 2e.</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4; main-text Fig. 2e, f.</w:t>
      </w:r>
    </w:p>
    <w:p>
      <w:r>
        <w:rPr>
          <w:rFonts w:ascii="Arial" w:hAnsi="Arial"/>
          <w:b w:val="0"/>
          <w:color w:val="000000"/>
          <w:sz w:val="22"/>
        </w:rPr>
        <w:t>Paired T1 comparisons (nc60). The 2,161 T1 flags are paired across metrics (same pairs, same nulls), so per-metric FPR contrasts were tested with McNemar-style discordant-pair analysis: ω versus raw JS (discordants 58/416, exact two-sided P = 8.4 × 10⁻⁶⁸), cosine (66/399, P = 4.1 × 10⁻⁵⁹), Spearman (93/352, P = 1.6 × 10⁻³⁶), k_n (165/317, P = 4.1 × 10⁻¹²), and k_f (40/233, P = 2.7 × 10⁻³⁴) are all significant in favor of ω, while marker Jaccard is significantly lower than ω (302/113, P = 5.6 × 10⁻²¹). Donor-cluster bootstrap 95% intervals (4 donors resampled, B = 10,000, seed 42) exclude zero for every contrast (ΔFPR versus ω: raw JS +0.166 [+0.154, +0.185], cosine +0.154 [+0.149, +0.166], Spearman +0.120 [+0.113, +0.132], k_n +0.070 [+0.063, +0.077], k_f +0.089 [+0.065, +0.107], marker Jaccard −0.087 [−0.102, −0.083]); script results/audit/_nc60_paired_stats.py, table results/nc60_mcnemar_t1.csv.</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5–7). Per-tumor statistics are the mean of ω, k_f, and k_n over all pairs in the linear-normalization pair table after the barcode-audit exclusion (34,828 pairs: the 478 pairs touching the 32 cell-line-derived aliquots dropped from the 35,306-pair table; authoritative file: results/tcga_linear_norm_v44_all_pairs.csv) in which a sample participates; per-sample values are not archived as a separate file and are rebuilt from that pair table plus the cBioPortal mutation labels by notebooks/nc52_tcga_excc_main.py (Reproducibility Guide, Section 5.13a). Group-level ratios carry sample-level cluster bootstrap 95% CIs (B = 1,000; seed 42; tumor and normal samples resampled with replacement independently, each pair reweighted by the product of its endpoint resampling weights). LUAD driver groups (61 EGFR, 120 KRAS, 311 wild-type (negative for both drivers); 2 double mutants excluded) were tested with Kruskal-Wallis followed by Dunn post-hoc tests with Holm correction (manual implementation, tie-corrected rank variances); group mean differences carry within-group bootstrap 95% CIs (B = 1,000). Because per-tumor ω averages overlapping (non-disjoint) pair sets, the group tests were additionally re-run as whole-tumor label-permutation tests (B = 10,000, seed 42): KW P = 0.0001; KRAS–WT P = 0.0001, KRAS–EGFR P = 0.003, EGFR–WT P = 0.21 — the published ordering and significance pattern is preserved (all permutation P-values are Monte-Carlo estimates at B = 10,000, resolution 10⁻⁴; the KRAS–EGFR P is 0.0034, whose final digit is not stable across random streams) (notebooks/93_luad_group_permutation_v49.py; output: results/nc49_tcga_luad_mutation_perm.csv). The KRAS contrast was also re-evaluated on the log-ω scale: adjusted KRAS/WT ratio 1.19, bootstrap 95% CI [1.12, 1.26], so the adjustment conclusion is scale-robust (notebooks/98_luad_logomega_sensitivity_v49.py; output: results/nc49_tcga_luad_logomega_sensitivity.csv). The LIHC survival analysis used Cox proportional-hazards regression (R survival::coxph) on the ex-CC default cohort (all 32 ILSBio cell-line tumours excluded; n = 272 tumors with complete covariates, 79 events) with per-tumor ω standardized to unit SD (hazard ratios per SD), AJCC stage entered as a categorical factor, plus Edmondson grade (G1-G4, ordinal), age, and sex (listwise deletion of missing covariates), with k_f-only, k_n-only, and tumor-normal-ω exposures as sensitivity models (Supplementary Table 8b). Proportional hazards were checked with cox.zph (M2 GLOBAL P = 0.023, reported alongside the estimates); the ω null is unchanged across models (HR/SD 1.08 [0.88, 1.33], P = 0.467 in the full model; notebooks/nc52_lihc_cox_excc.py; outputs: results/nc52_lihc_cox_excc.csv, results/nc52_lihc_cox_excc_zph.csv). The adjusted LUAD driver contrasts were additionally re-run as whole-tumor label-permutation tests (B = 10,000, seed 42) that re-fit the full OLS adjustment model at every permutation: the KRAS contrasts remain significant (KRAS-WT P ≤ 0.001) while the EGFR-WT contrast does not (P ≥ 0.28), matching the parametric conclusion (notebooks/nc52_tcga_luad_adjmodel_permutation.py; output: results/nc52_tcga_luad_adjmodel_permutation.csv).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notebooks/nc52_tcga_excc_main.py (seed 42; ex-CC default main chain: pan-cancer ratios, clinical severity, summary), notebooks/nc49_tcga_purity.py, notebooks/nc49_tcga_luad_smoking.py, notebooks/nc49_tcga_kf_composition.py; outputs: results/nc52_tcga_pancancer_excc.csv, results/nc52_tcga_excc_severity.csv, results/nc52_tcga_excc_summary.json, results/nc49_tcga_luad_mutation.csv,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 6).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~73% of the log-ω gap (mean-log identity estimand);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 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7a), so the pan-cancer reversal is not an admixture artefact. In LUAD, admixture differed across driver groups (highest in EGFR-mutant tumors), and OLS adjustment for admixture abolished the EGFR-wild-type differences while preserving both KRAS-wild-type components (Supplementary Table 7b); smoking status (ever/never, available for 427 of 492 LUAD tumors, 87%) was strongly confounded with driver group but did not carry the divergence association (Supplementary Table 7c).</w:t>
      </w:r>
    </w:p>
    <w:p>
      <w:r>
        <w:rPr>
          <w:rFonts w:ascii="Arial" w:hAnsi="Arial"/>
          <w:b w:val="0"/>
          <w:color w:val="000000"/>
          <w:sz w:val="22"/>
        </w:rPr>
        <w:t>TP53 co-mutation, proliferation, and fixed-panel sensitivity (notebooks/nc75_tcga_kras_incremental.py). TP53 mutation status for the 493 LUAD tumors was retrieved from cBioPortal (luad_tcga_pan_can_atlas_2018; 220 of 493 mutant; frequency 0.31 in KRAS versus 0.56 wild-type, 0.58 EGFR). Adding a TP53 indicator to the smoking-plus-admixture model left the KRAS contrasts essentially unchanged (whole-tumor permutation, B = 10,000, seed 42: KRAS − WT Δω +12.9, P = 2 × 10⁻⁴; KRAS − EGFR +18.0, P = 7 × 10⁻⁴; Δk_f P = 0.008). A proliferation index (mean of MKI67, TOP2A, PCNA on the log scale) was uncorrelated with per-tumor ω (Spearman ρ = 0.033, P = 0.49), and its inclusion likewise left the contrast unchanged (KRAS − WT P = 2 × 10⁻⁴). Panel sensitivity: recomputing all 2,000 authoritative LUAD TT pairs with a pre-specified fixed functional panel (top-200 non-HK genes by across-tumor variance, fixed across pairs and within permutations; k_n unchanged) attenuated the KRAS − WT contrast to marginal significance (Δω_fixed +2.6, P = 0.089; P = 0.039 with proliferation adjustment) while KRAS − EGFR persisted (+6.1, P = 0.005); group means were 51.4 (WT), 48.4 (EGFR), 53.9 (KRAS) under the fixed panel versus 123.5, 121.0, 137.2 under the circular scheme. The KRAS elevation thus reflects genuine driver-associated divergence, but its wild-type limb is amplified by the per-pair circular panel; histological-subtype (TRU/PP/PI) classifications were unavailable for adjustment.</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rPr>
          <w:rFonts w:ascii="Arial" w:hAnsi="Arial"/>
          <w:b w:val="0"/>
          <w:color w:val="000000"/>
          <w:sz w:val="22"/>
        </w:rPr>
        <w:t>Additional driver-stratification controls (migrated from the main text in v50). The admixture-adjusted KRAS–wild-type differences were significant for both components (Δω +16.8, P = 4.0 × 10⁻⁶; Δk_f +0.012, P = 0.009; Δk_n −0.0004, P = 0.003; adjusted log-ω ratio 1.19, bootstrap 95% CI [1.12, 1.26]). KRAS-mutant tumors were strongly enriched for ever-smokers (94% versus 63% EGFR-mutant and 86% wild-type, χ² = 30.3, P = 2.7 × 10⁻⁷); smoking-adjusted contrasts remained significant (Δω +13.9, P = 5.9 × 10⁻⁴ smoking alone; +13.6, P = 3.3 × 10⁻⁴ with admixture; +13.3, P = 1.4 × 10⁻³ with smoking, age, and sex; smoking status covered 427 of 492 tumors, 87%). KRAS-mutant LUAD also differs from wild-type in TP53 co-mutation rate and histological subtype (invasive mucinous adenocarcinoma is KRAS-enriched); neither was adjusted for. The ex-CC default cohort (the 32 cell-line-derived (CC) LIHC samples excluded from all v52 analyses) keeps the LIHC null result and the high-purity-half analysis unchanged (NN/TT 1.11 [0.94, 1.30], which includes 1; the TT k_n/NN k_n ratio 1.34 [1.02, 1.89] excludes 1 ex-CC, so the k_n elevation is nominally significant; high-purity-half 1.17 full-cohort (95% CI [0.97, 1.41]) versus 1.19 excluding CC (95% CI [1.01, 1.44])); the full barcode source-code audit is documented in the Reproducibility Guide (notebooks/94_cc_audit_sensitivity_v49.py).</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in the pair-level analysis before the barcode audit (of the 3,596 expression-matrix samples, 3 do not appear in the assembled pair table, and 26 further samples appear only in tumor–normal pairs; the pair table spans 3,593 unique barcodes). The ex-CC default cohort excludes the 32 cell-line-derived (CC) LIHC aliquots, leaving 3,535 samples (LIHC 366 tumor + 57 normal) for all reported analyses; the GTEx comparison and the reference-free composition fallback (Supplementary Note 10) instead use the full expression-matrix cohort (3,596 samples, e.g. KIRC 754 tumors, of which 750 are retained in pair-level analysis).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8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AUC interval methods (v52). The main-text AUC 95% CI [0.770, 0.838] is the DeLong interval on the 850-replicate ROC (600 signal, 250 neutral replicates). A module-seed cluster bootstrap (resampling the three module-seed clusters on the signal side plus iid neutral replicates, B = 5,000, seed 42) gives a near-identical interval [0.771, 0.836], so the DeLong caliber is robust to the clustered simulation design; fixed-specificity sensitivity values are tabulated in results/nc52_stats_auc_ci_methods.csv (script scripts/nc52_stats_resampling.py).</w:t>
      </w:r>
    </w:p>
    <w:p>
      <w:r>
        <w:rPr>
          <w:rFonts w:ascii="Arial" w:hAnsi="Arial"/>
          <w:b w:val="0"/>
          <w:color w:val="000000"/>
          <w:sz w:val="22"/>
        </w:rPr>
        <w:t>Paired AUC contrasts (nc60). All six metrics are scored on the same 850 replicates, so their AUCs are correlated; a paired DeLong test on the ω-versus-k_f contrast (the two best metrics) gives ΔAUC = +0.088 (SE 0.010; 95% CI [0.068, 0.109]; z = 8.5; P = 2.4 × 10⁻¹⁷), and a module-seed cluster bootstrap of the difference (three module-seed clusters resampled on the signal side plus iid neutral replicates, B = 5,000, seed 42) gives [0.070, 0.108] with no non-positive replicate. Paired contrasts against k_total, cosine, k_f/k_total, and k_n are likewise significant (all P &lt; 10⁻⁸; table results/nc60_paired_dauc.csv; script results/audit/_nc60_paired_stats.py, whose DeLong implementation reproduces the nc52 single-metric intervals above to 4 decimals).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r>
        <w:rPr>
          <w:rFonts w:ascii="Arial" w:hAnsi="Arial"/>
          <w:b w:val="0"/>
          <w:color w:val="000000"/>
          <w:sz w:val="22"/>
        </w:rPr>
        <w:t>Second-background detail (migrated from the main text in v51): the skin k_f selection floor is lower than marrow (median 0.011 versus 0.025); at δ = 1, ω detection was 0.91 versus 0.00 in marrow, and under the fourfold cell-count imbalance k_f retained higher power (0.98–1.00 versus 0.04–0.20).</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(two-stage population-resampled bootstrap 95% CI [6.38, 9.82], B = 5,000; the 300-value intervals [7.37, 8.02]/[7.38, 8.02] are pseudo-replicated and superseded), and the legacy single-split estimate 6.67 [4.24, 9.24] lies inside the widened CI and is superseded. We introduce calibrated ω: omega_cal = omega_obs / 7.70, which rescales all values so that equivalent populations yield omega_cal ~ 1.0. Given the width of the baseline CI (±21% relative half-width), calibrated values carry roughly one significant figure of resolution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[6.38, 9.82],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the calibration-relevant results. (Supplementary Fig. 3.)</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 The six-population baseline interval [6.38, 9.82] quoted in the main text shares this limitation and is labelled slightly anti-conservative there.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absorption statement is conditional: it holds (i) because the baseline and the test statistic share the same estimator, gene panels, and preprocessing, so the bias factor enters both alike; (ii) because the bias is a smooth function of k_n (delta-method ρ = 0.99 above), so matching on the k_n scale matches the bias; and (iii) because inference compares ω against the empirical null distribution rather than against absolute thresholds. It does not transfer across k_n scales—a small-denominator pair read against a large-denominator baseline would retain the +6.5% small-bin bias.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1 / Fig. 4)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k_n-permutation floor (v52; cited in the main-text Discussion). To test whether the observed ω–k_f correlation is mathematically forced by the shared k_f numerator, k_n was permuted across pairs (B = 1,000, seed 42) and the floor correlation corr(k_f/k_n_perm, k_f) computed. On the full-inventory human pair set (5,151 pairs, the 102-entry inventory before the 99-entry filter that yields the 4,851 analyzed pairs), the floor is 0.524 (95% CI [0.506, 0.541]) while the observed Spearman correlation is 0.089—far below the floor, so the structured baseline decorrelates ω from k_f. On the mouse full matrix (703 pairs) the floor is 0.857 [0.843, 0.870] and the observed 0.821 sits essentially at it: the high mouse ω–k_f correlation is mathematically forced and dataset-dependent, not biological coupling. Script: scripts/nc52_stats_resampling.py; output: results/nc52_stats_omega_kf_math_floor.csv.</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ex-CC linear-normalization re-analysis at kn_floor = 0, notebooks/nc52_tcga_excc_main.py, results/nc52_tcga_excc_severity.csv (the pre-exclusion run is archived as results/superseded/tcga_clinical_severity_v44.csv),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(78.8, 75.8, 77.6, 72.3 for G1–G4; Jonckheere-Terpstra P &lt; 10⁻¹⁵), but k_f increases with grade (JT P = 8.4 × 10⁻¹²) and k_n increases in parallel (JT P &lt; 10⁻¹⁵),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3d), and the full values and test details are given in Supplementary Table 15. The k_f-only controls are post-hoc; the P-values reported here (three severity analyses crossed with three metrics) are nominal and carry no multiplicity correction. Scripts: notebooks/83_kf_only_ordering.py (published softmax run) and notebooks/nc52_tcga_excc_main.py (ex-CC linear re-analysis); outputs: results/kf_only_ordering.csv, results/kf_only_ordering.json, results/kf_only_severity.csv, results/kf_only_ordering.txt, results/nc52_tcga_excc_severity.csv.</w:t>
      </w:r>
    </w:p>
    <w:p>
      <w:r>
        <w:rPr>
          <w:rFonts w:ascii="Arial" w:hAnsi="Arial"/>
          <w:b w:val="0"/>
          <w:color w:val="000000"/>
          <w:sz w:val="22"/>
        </w:rPr>
        <w:t>Same-organ decomposition values (migrated from the main text in v51): same-organ pairs have indistinguishable k_f (0.247 vs. 0.250, P = 0.60) but lower k_n (0.0130 vs. 0.0148, P = 3.0 × 10⁻¹⁶), contributing +0.176 on the log scale (factor 1.19).</w:t>
      </w:r>
    </w:p>
    <w:p>
      <w:pPr>
        <w:pStyle w:val="Heading2"/>
      </w:pPr>
      <w:r>
        <w:t>Supplementary Note 6: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7: Human-Brain Sanity Check on the Microglia Supercluster</w:t>
      </w:r>
    </w:p>
    <w:p>
      <w:r>
        <w:rPr>
          <w:rFonts w:ascii="Arial" w:hAnsi="Arial"/>
          <w:b w:val="0"/>
          <w:color w:val="000000"/>
          <w:sz w:val="22"/>
        </w:rPr>
        <w:t>This note reports a sanity check on data not used in any main-text analysis: the Microglia supercluster of the Human Brain Cell Atlas v1.0 (Siletti et al.; CZ CELLxGENE Discover, collection 283d65eb-dd53-496d-adb7-7570c7caa443; 91,838 nuclei, 58,232 genes), which carries two cell_type labels—microglial cell (88,494 nuclei) and central nervous system macrophage (CNS-Mφ; 3,344 nuclei)—across 4 donors, 598 samples, and 10 brain regions. Pseudobulks were computed per (cell_type × sample) group (≥ 20 cells; 563 eligible groups, 89,533 nuclei) with the Tabula Sapiens pipeline order (per-cell normalize_total(1e4) + log1p, then group means); k_n used the HRT Atlas v1.0 human HK genes (1,107 matched) and k_f the global seurat HVG 2,000 panel excluding HK (1,973 genes), with kn_floor = 1 × 10⁻⁴ and seed 42. The functional contrast comprised 35 sample-matched microglia-versus-CNS-Mφ pairs (within-sample, controlling donor, region, and batch); neutral contrasts comprised 20 random half-splits per cell type of the same (cell_type, sample) group (microglia halves ≥ 100 cells from 95 groups ≥ 200 cells; CNS-Mφ halves ≥ 50 cells from 4 groups ≥ 100 cells, within the recommended 50–200 cell operating window).</w:t>
      </w:r>
    </w:p>
    <w:p>
      <w:r>
        <w:rPr>
          <w:rFonts w:ascii="Arial" w:hAnsi="Arial"/>
          <w:b w:val="0"/>
          <w:color w:val="000000"/>
          <w:sz w:val="22"/>
        </w:rPr>
        <w:t>CKI ω separated the functional contrast from the neutral baseline completely: ω = 21.83 ± 7.20 (functional) versus 1.30 ± 0.36 (neutral), Mann-Whitney P = 5.5 × 10⁻¹⁴, exact rank AUC = 1.00. The margin is carried by the functional component: k_f (0.064 ± 0.012 versus 0.0020 ± 0.0016, AUC = 1.00) separates perfectly, whereas k_n (0.0033 ± 0.0011 versus 0.0014 ± 0.0009) is only partially elevated (AUC = 0.89)—the decomposition-first reading argued throughout the manuscript. Standard metrics also separated the classes (raw JS, cosine, and marker Jaccard AUC = 1.00; Spearman 0.90), as expected for two genuinely distinct cell types; the sanity-check value lies in ω tracking the functional contrast far above its own neutral baseline on an independent dataset. Note that this analysis uses the global-HVG scheme, not the per-pair top-200 hybrid scheme, so absolute ω values sit on a different scale from the 7.70-calibrated hybrid baseline and are compared internally only. Scripts: notebooks/nc50_brain_atlas_microglia.py and notebooks/nc50_fig_microglia.py; outputs: results/nc50_brain_atlas_microglia.csv and .txt. (Supplementary Fig. 4.)</w:t>
      </w:r>
    </w:p>
    <w:p>
      <w:r>
        <w:br w:type="page"/>
      </w:r>
    </w:p>
    <w:p>
      <w:pPr>
        <w:pStyle w:val="Heading2"/>
      </w:pPr>
      <w:r>
        <w:t>Supplementary Note 8: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4). Script: notebooks/79_kang_ifnb_demo.py; outputs: results/kang_ifnb_demo_pairs.csv (709 pairs), results/kang_ifnb_demo_summary.json.</w:t>
      </w:r>
    </w:p>
    <w:p>
      <w:r>
        <w:rPr>
          <w:rFonts w:ascii="Arial" w:hAnsi="Arial"/>
          <w:b w:val="0"/>
          <w:color w:val="000000"/>
          <w:sz w:val="22"/>
        </w:rPr>
        <w:t>Effect-scale detail (migrated from the main text in v51): median within-donor stimulated-versus-control ω exceeded median donor-versus-donor ω by 1.1–2.0-fold.</w:t>
      </w:r>
    </w:p>
    <w:p>
      <w:pPr>
        <w:pStyle w:val="Heading2"/>
      </w:pPr>
      <w:r>
        <w:t>Supplementary Note 9: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estimand of the “upper bound” statement is precise: the target is the same-pair k_f computed on a non-circular (leave-pair-out) panel, i.e., the value the estimator would take without selection on the observed difference; the 1.61-fold figure is a median across the pair distribution (IQR 1.27-2.07), not a deterministic per-pair inequality, and it holds under the same background, scheme, and preprocessing.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r>
        <w:rPr>
          <w:rFonts w:ascii="Arial" w:hAnsi="Arial"/>
          <w:b w:val="0"/>
          <w:color w:val="000000"/>
          <w:sz w:val="22"/>
        </w:rPr>
        <w:t>Panel grand means and ranking robustness (migrated from the main text in v51): 38.55 reported, 26.5 leave-pair-out, 6.5 fixed, 5.3 unselected; the circular panel inflated k_f by a median 1.61-fold relative to leave-pair-out and by 6.1- and 7.3-fold relative to the fixed and unselected panels, and the multiplicative-residual ranking correlated at ρ = 0.86–0.88 across schemes.</w:t>
      </w:r>
    </w:p>
    <w:p>
      <w:pPr>
        <w:pStyle w:val="Heading2"/>
      </w:pPr>
      <w:r>
        <w:t>Supplementary Note 10: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on this composition-check pair set of 25,306 NN+TT pairs; on the main 35,306-pair linear table the corresponding medians are 2.60, 2.53, 2.08, 3.61, and 2.78—the difference is the pair set, not the estimator;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(softmax caliber; superseded by the linear-normalization update at the end of this note, the authoritative caliber for the regression and correlation estimates cited in the manuscript),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(authoritative caliber, ex-CC default cohort, v52). The composition check was re-run on the ex-CC linear-normalization pair table of Section 1.7 (script notebooks/nc52_tcga_composition_excc.py, mirroring script 74 with the four marker panels and the sample-level cluster bootstrap; B = 1,000, seed 42; 25,015 ex-CC pairs with the 291 CC-touching pairs dropped and the CC samples also excluded from the z-score standardization population; outputs results/nc52_tcga_composition_excc.{csv,txt}); the pre-exclusion run is archived as results/superseded/tcga_composition_v44.{csv,txt}. All conclusions are unchanged: tumor–tumor pairs show larger composition differences than normal–normal pairs (median |Δz| 1.305-fold for the three-panel composite, P = 2.63 × 10⁻¹³⁵, and 1.216-fold with the myeloid panel included, P = 4.67 × 10⁻⁶⁸; the myeloid panel alone shows no tumour excess, ratio 1.001, P = 0.982); pooled four-panel attenuation −0.9% (cluster-bootstrap median −0.8%, 95% CI [−4.3%, +2.5%]); per-cancer attenuation LIHC +44.1% [+29.9%, +60.0%], KIRC +19.7% [+14.5%, +25.3%], BRCA −15.9% [−24.5%, −7.3%], LUAD −2.0% [−8.0%, +5.1%], LUSC −9.0% [−26.6%, +6.1%]; the within-TT correlation of k_n with the composition difference is Spearman ρ = 0.380 pooled (n = 9,709 pairs, P &lt; 10⁻³⁰⁰; per-cancer 0.223–0.513, n = 2,000 per cancer except LIHC n = 1,709, all P ≤ 6.3 × 10⁻²³; these correlation P-values treat pairs as independent and are reported as descriptive only, with the cluster bootstrap carrying the inferential weight). Composition covariates still absorb a substantial share of the tumor-pair coefficient in LIHC and KIRC but not in the other cancer types, and the pooled near-zero estimate still masks this heterogeneity. These linear-normalization estimates are the ones cited in the manuscript.</w:t>
      </w:r>
    </w:p>
    <w:p>
      <w:r>
        <w:rPr>
          <w:rFonts w:ascii="Arial" w:hAnsi="Arial"/>
          <w:b w:val="0"/>
          <w:color w:val="000000"/>
          <w:sz w:val="22"/>
        </w:rPr>
        <w:t>Purity sensitivity detail (migrated from the main text in v51): high-purity-half comparisons increased the NN/TT ω ratio in all five cancer types (e.g. LUAD 2.46 → 2.86, NN/TT ω ratios, not k_n fold-changes); per-tumor k_n correlated negatively with admixture, r = −0.23 to −0.42 across the five cancer types (range restored to the SI in v51r2).</w:t>
      </w:r>
    </w:p>
    <w:p>
      <w:r>
        <w:rPr>
          <w:rFonts w:ascii="Arial" w:hAnsi="Arial"/>
          <w:b w:val="0"/>
          <w:color w:val="000000"/>
          <w:sz w:val="22"/>
        </w:rPr>
        <w:t>GTEx healthy reference (v52). To separate tumor-specific housekeeping elevation from a field effect, GTEx V8 gene-level TPM (gtexportal.org; lung n = 288, liver n = 110, kidney cortex n = 28, breast n = 179 after QC and seed-42 subsampling to ≤ 300 per tissue) was processed with the identical k_n pipeline (HRT Atlas HK panel, linear (TPM+1)/Σ mapping, kn_floor = 1 × 10⁻⁴, seed 42; script notebooks/nc52_gtex_kn.py; results/nc52_gtex_kn_by_grouptype.csv). Median k_n by pair type: lung GTEx–GTEx 1.14 × 10⁻³ versus adjacent–adjacent 9.7 × 10⁻⁴ versus tumor–tumor 2.50 × 10⁻³; liver 1.98 × 10⁻³ / 1.92 × 10⁻³ / 3.98 × 10⁻³; breast 9.1 × 10⁻⁴ / 8.7 × 10⁻⁴ / 2.41 × 10⁻³—in all three organs the adjacent-normal baseline is at the healthy level (healthy/adjacent ≈ 1.0–1.2; in liver the two medians coincide (ratio 1.03) but the distributions differ, one-sided MWU P = 3.8 × 10⁻⁵, with a heavier adjacent upper tail) while tumor is 2.0–2.8-fold higher (TT ≫ NN, P ≤ 3.2 × 10⁻⁸⁴), so the elevation is tumor-specific rather than a field effect. Kidney is the exception: GTEx cortex k_n (2.38 × 10⁻³) ≈ tumor (2.60 × 10⁻³) ≫ adjacent (7.2 × 10⁻⁴), with only n = 28 and very high variance (GTEx kidney autolysis is documented), so no conclusion is drawn for KIRC. Cross-cohort GTEx–adjacent pairs show k_n elevated to tumor levels in every organ (P ≤ 1.4 × 10⁻²⁶), a cohort-level technical effect; mechanistic claims therefore rest on within-cohort orderings only. The cross-cohort shift (GTEx–adjacent versus GTEx–GTEx pair k_n, ratio ≈ 1.8–2.3× in lung, liver, and breast; kidney 1.6×) bounds the resolution of the healthy–adjacent comparison; the healthy ≈ adjacent similarity should be read within that tolerance (tentative, GTEx cross-cohort discrepancy unresolved). Pair-level P values in this GTEx comparison treat pairs as independent and are descriptive only.</w:t>
      </w:r>
    </w:p>
    <w:p>
      <w:r>
        <w:rPr>
          <w:rFonts w:ascii="Arial" w:hAnsi="Arial"/>
          <w:b w:val="0"/>
          <w:color w:val="000000"/>
          <w:sz w:val="22"/>
        </w:rPr>
        <w:t>Reference-free composition fallback (v52). Full deconvolution tools were not executable in the offline revision environment (CIBERSORTx requires an online API token; BayesPrism is not installed), so a reference-free non-negative least-squares fallback was run on the full expression-matrix cohort (LIHC 366 and KIRC 754 tumors, 750 KIRC retained at pair level; seed 42, 60 markers per compartment): each tumor is decomposed into endothelial, epithelial, immune, and residual fractions, and the non-parenchymal fraction is correlated with per-tumor k_n. The estimator itself is reproducible (split-half Spearman ρ = 0.934 LIHC, 0.964 KIRC), but the non-parenchymal fraction tracks k_n only weakly (Spearman ρ = 0.20 LIHC, 0.26 KIRC), so measurable composition shifts explain at most a small share of the per-tumor k_n elevation—consistent with the marker-panel check above. Script: notebooks/nc52_tcga_deconv_feasibility.py; outputs: results/nc52_tcga_deconv_feasibility.{csv,json} and results/nc52_tcga_deconv_{lihc,kirc}_pertumor.csv.</w:t>
      </w:r>
    </w:p>
    <w:p>
      <w:pPr>
        <w:pStyle w:val="Heading2"/>
      </w:pPr>
      <w:r>
        <w:t>Supplementary Note 11: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However, that interval propagates only cell-resampling noise at fixed donors; a donor-level cluster bootstrap (B = 1,000, seed 42; the four donors resampled with replacement, the full pipeline recomputed per resample) yields median 1.56 with 95% CI [0.80, 2.34] (12.6% of replicates below 1; leave-one-donor-out range [0.93, 1.76]; donor×region block bootstrap [0.76, 2.13]): with only four donors—and Bergmann glia present in three—the size-only equal-n gradient is not separable from donor composition, and it is therefore reported as a sensitivity analysis rather than a headline (main text). Roughly 70% of the full-data 6.10-fold magnitude therefore reflects class-size imbalance and is disclosed as such in the main text; the direction of the gradient is robust. The span-matched intra-cerebellar control (main text; 21 matched region pairs) decomposes the residual 3.68-fold gradient into k_f 1.39 and k_n 0.33 (ratios of class means; median paired k_f ratio 1.58), so a substantial share of the residual gradient is carried by the k_n denominator rather than the k_f numerator (results/nc49_brain_region_matched_summary.csv). The min-cells threshold sweep is given in Supplementary Table 13.</w:t>
      </w:r>
    </w:p>
    <w:p>
      <w:r>
        <w:rPr>
          <w:rFonts w:ascii="Arial" w:hAnsi="Arial"/>
          <w:b w:val="0"/>
          <w:color w:val="000000"/>
          <w:sz w:val="22"/>
        </w:rPr>
        <w:t>Span-matched and equal-n decomposition controls (migrated from the main text in v50). Restricting astrocytes to the 21 intra-cerebellar region pairs that define Bergmann glia yields a span-matched gradient of 3.68 (ratio of class means; paired per-region-pair median 4.30, bootstrap 95% CI [3.40, 4.95]; notebooks/95_brain_region_matched_v49.py), so the gradient persists, at reduced magnitude, after size and span controls. Unlike the size-only control, the span-matched gradient is robust at the donor level: the same donor cluster bootstrap (B = 1,000, seed 42) gives a ratio-of-means gradient of 3.28 [1.67, 3.97] and a paired-median of 3.99 [2.56, 4.30], with every leave-one-donor-out replicate above 1 (notebooks/nc52_brain_donor_bootstrap.py). A combined span- and size-matched control (equal-n downsampling inside the 21 matched pairs, target 7,965 nuclei per class, 20 replicates) yields an observed gradient of 3.66 [3.60, 3.71] across cell-resampling replicates and a donor-level median of 3.28 [1.92, 3.78] (leave-one-donor-out 2.31–3.68, all above 1): this combined estimate is the main-text headline because it controls span and size simultaneously and remains significant under donor resampling (results/nc52_brain_combined_equaln_spanmatch.csv). Decomposing the equal-n residual: the astrocyte/Bergmann-glia k_f ratio is 2.09 (95% CI [2.02, 2.18]) under equal-n—essentially the full-data value (2.03)—whereas the k_n ratio reverses direction (equal-n 1.29, 95% CI [1.21, 1.41], astrocyte higher; full-data 0.31, Bergmann glia higher), so the Bergmann-glia k_n elevation in the full data is largely a class-size artefact (notebooks/96_brain_downsample_decomp_v49.py). Ordering controls: the k_f-only gradient is 4.1-fold and the k_n-only gradient 6.7-fold; the class-mean ordering is stable under an aggregate-first k_n estimator (Spearman ρ = 0.988, gradient 6.51-fold) but not under a single global k_n (ρ = 0.09).</w:t>
      </w:r>
    </w:p>
    <w:p>
      <w:r>
        <w:rPr>
          <w:rFonts w:ascii="Arial" w:hAnsi="Arial"/>
          <w:b w:val="0"/>
          <w:color w:val="000000"/>
          <w:sz w:val="22"/>
        </w:rPr>
        <w:t>RNA-quality proxies (v52). The atlas metadata carries no PMI or RIN, so technical variation was proxied by mean detected genes, mean total UMI, and mitochondrial fraction per group. At the (class, library) level (4,906 pairs), per-pair regression of log10(k_n/k_f/ω) on the three proxies shows that mitochondrial fraction explains parts of k_n and k_f (R² 0.225→0.271 and 0.442→0.504 when added) but not of ω (0.300→0.308), and the T3 (cross-region) ω coefficient attenuates from 0.257 to 0.202 (−21%) but remains; at the (class, region) level, adjusting class means for the proxies leaves the endpoint gradient at 6.33 (depth/UMI) to 6.45 (adding mitochondrial fraction) versus 6.10 unadjusted. Technical variation capturable by depth, capture, and composition proxies therefore does not drive the gradient—the shared technical component cancels in the ratio, as designed; PMI-related RNA-degradation deformation cannot be excluded (scripts notebooks/nc52_brain_quality_regression.py, notebooks/nc52_brain_quality_mito.py).</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5.</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r>
        <w:rPr>
          <w:rFonts w:ascii="Arial" w:hAnsi="Arial"/>
          <w:b w:val="0"/>
          <w:color w:val="000000"/>
          <w:sz w:val="22"/>
        </w:rPr>
        <w:t>Donor-stratified null transparency. The per-class detail behind the manuscript statement that 3 of 10 classes survive the donor-stratified null is tabulated in results/nc49_donor_stratified_table.csv: for each class it lists the permutation P-value and BH q-value both with and without donor stratification, the number of shufflable libraries (libraries belonging to donors with more than one library; single-library donors are fixed by design), the per-donor library counts, and the exact probability that a random donor-stratified shuffle returns the identity assignment — the analytic floor on the attainable one-sided P-value, since the permutation engine retains identity draws as valid. That floor is negligible for every class (identity-permutation share at most 4.8 × 10⁻²³¹), so the nulls are not degenerate; the three surviving classes are astrocytes (stratified q = 0.005), oligodendrocyte precursors (0.005), and committed oligodendrocyte precursors (0.043). One class moves against the conservative direction: ependymal cells obtain a smaller P under the donor-stratified null than under the free null (0.021 versus 0.058), because the within-donor shuffle space differs in composition from the unrestricted one (the two nulls are not nested); its stratified BH q (0.052) nonetheless exceeds 0.05, so it is not counted among the survivors. Script: notebooks/97_donor_stratified_table_v49.py.</w:t>
      </w:r>
    </w:p>
    <w:p>
      <w:r>
        <w:rPr>
          <w:rFonts w:ascii="Arial" w:hAnsi="Arial"/>
          <w:b w:val="0"/>
          <w:color w:val="000000"/>
          <w:sz w:val="22"/>
        </w:rPr>
        <w:t>Within-donor gradient values (migrated from the main text in v51): astrocytes remained the most divergent class (mean ω = 75.18 across 11,139 within-donor pairs, versus 82.75 pooled) and Bergmann glia the least (16.73), a 4.50-fold gradient.</w:t>
      </w:r>
    </w:p>
    <w:p>
      <w:pPr>
        <w:pStyle w:val="Heading2"/>
      </w:pPr>
      <w:r>
        <w:t>Supplementary Note 13: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14: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r>
        <w:rPr>
          <w:rFonts w:ascii="Arial" w:hAnsi="Arial"/>
          <w:b w:val="0"/>
          <w:color w:val="000000"/>
          <w:sz w:val="22"/>
        </w:rPr>
        <w:t>Microglia composition null (migrated from the main text in v50). The microglial share-level enrichment among Strong candidates (16 of 39; raw share-level 2.30-fold, hypergeometric P = 6.0 × 10⁻⁴) does not survive the design-matched null: the Strong rule fires preferentially on low-ω classes, so 52.0 of the 148.3 null-rule candidates are microglial (observed 16, fold 0.31, P = 0.990), and the concentration does not survive the leave-pair-out panel.</w:t>
      </w:r>
    </w:p>
    <w:p>
      <w:pPr>
        <w:pStyle w:val="Heading2"/>
      </w:pPr>
      <w:r>
        <w:t>Supplementary Note 15: Comparison with Augur Cell-Type Prioritization</w:t>
      </w:r>
    </w:p>
    <w:p>
      <w:r>
        <w:rPr>
          <w:rFonts w:ascii="Arial" w:hAnsi="Arial"/>
          <w:b w:val="0"/>
          <w:color w:val="000000"/>
          <w:sz w:val="22"/>
        </w:rPr>
        <w:t>Augur (Skinnider et al., Nat. Biotechnol. 2021; main-text ref. 37)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3.14, we used pyaugur 0.1.0, a pure-Python port of R Augur v1.0.3; the port’s own validation benchmark (shipped with the pyaugur package) reports Spearman ρ = 1.0 against the R reference implementation—we note that this is the port’s self-reported benchmark rather than an independent validation by us.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a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 The two variants were specified before comparing against CKI, and both are reported below.</w:t>
      </w:r>
    </w:p>
    <w:p>
      <w:r>
        <w:rPr>
          <w:rFonts w:ascii="Arial" w:hAnsi="Arial"/>
          <w:b w:val="0"/>
          <w:color w:val="000000"/>
          <w:sz w:val="22"/>
        </w:rPr>
        <w:t>Under the confound-controlled binary one-vs-rest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this pattern is consistent with, but does not establish, a shared basis in HK-anchored divergence—the two methods are complementary rather than redundant. The multiclass variant is reported as a sensitivity analysis alongside the above because its AUC correlates with the number of eligible regions per class (ρ = −0.744, P = 0.014); it gives a weaker association (versus ω ρ = +0.127, P = 0.726). Scripts notebooks/91_augur_v45.py and notebooks/91b_augur_ovr_v45.py; report results/augur_comparison_v45_report.md.</w:t>
      </w:r>
    </w:p>
    <w:p>
      <w:pPr>
        <w:pStyle w:val="Heading2"/>
      </w:pPr>
      <w:r>
        <w:t>Supplementary Note 16: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w:t>
      </w:r>
    </w:p>
    <w:p>
      <w:r>
        <w:rPr>
          <w:rFonts w:ascii="Arial" w:hAnsi="Arial"/>
          <w:b w:val="0"/>
          <w:color w:val="000000"/>
          <w:sz w:val="22"/>
        </w:rPr>
        <w:t>Extended null families (notebooks/84_dirichlet_overdispersed_dimension.py; results/dirichlet_overdispersed_dimension.csv) probe the extrapolation boundary of this claim with 2,000 pairs per setting at d = 50, 1,130, 2,000, and 5,000 (seed 42). (A) Population-level Dirichlet at concentration α = 0.1, 1, 2, and 10: mean JS is dimension-invariant for d ≥ 1,130 (ratio d = 2,000 versus 1,130: 0.999-1.000; d = 5,000 versus 1,130: 0.998-1.000; d = 50 sits ~2% lower), while the absolute level rises strongly as α → 0 (0.035 at α = 10 to 0.806 at α = 0.1)—sparsity changes the level, not the dimension scaling. (B) Zero-inflated sparse mixtures (structural-zero fractions z = 0.5, 0.8, 0.9 on α = 2 Dirichlet draws): mean JS is again dimension-invariant (ratios 0.999-1.009), though the level rises with z (0.58-0.92). (C) Dirichlet-multinomial finite-count sampling under the same-distribution null (two independent count samples from a shared α = 2 Dirichlet): the sampling-induced JS tracks the chi-square prediction (d − 1)/(4N ln 2) (empirical/theoretical = 1.00-1.10), so dimension invariance breaks when count depth N is not large relative to d—mean JS reaches 0.20 at N = 10⁴ and d = 5,000, and 0.019 at N = 10⁵ and d = 5,000, but stays ≤ 0.002 at N ≥ 10⁶ even at d = 5,000. CKI operates on pseudobulk aggregates whose effective count depth is large, and the same-panel permutation null absorbs any residual sampling bias; the invariance claim is therefore scoped to population-level proportions at adequate count depth, and we do not claim it for arbitrary sampling models or sparse single-cell count vectors.</w:t>
      </w:r>
    </w:p>
    <w:p>
      <w:pPr>
        <w:pStyle w:val="Heading2"/>
      </w:pPr>
      <w:r>
        <w:t>Supplementary Note 17: Lineage-Distance Validation across Atlases</w:t>
      </w:r>
    </w:p>
    <w:p>
      <w:r>
        <w:rPr>
          <w:rFonts w:ascii="Arial" w:hAnsi="Arial"/>
          <w:b w:val="0"/>
          <w:color w:val="000000"/>
          <w:sz w:val="22"/>
        </w:rPr>
        <w:t>To test whether k_f carries lineage information beyond the organ baseline, we mapped every Tabula Sapiens cell type to Cell Ontology (CL) identifiers (releases/2026-06-08) and computed pairwise lineage distance as the shortest-path length over the CL ancestor graph. Across 1,054 same-organ cross-cell-type pairs spanning 6 organs, k_f increased systematically with lineage distance (Spearman ρ = 0.227, P = 9.5 × 10⁻¹⁴; organ-stratified permutation, 10,000 draws, P = 1.0 × 10⁻⁴), rising from a median of 0.127 at distance 1–2 to 0.271 at distance ≥9 (2.1-fold monotone ladder; Supplementary Fig. 9a, d). Same-cell-type cross-organ pairs at distance 0 anchored the ladder at a much lower median k_f of 0.106 (n = 69). Critically, k_n showed no lineage gradient (ρ = 0.052, P = 0.092), confirming that the organ baseline is distance-independent; the partial correlation of ω with distance given k_n was ρ = 0.265 (P = 1.9 × 10⁻¹⁸). (Supplementary Table 16.)</w:t>
      </w:r>
    </w:p>
    <w:p>
      <w:r>
        <w:rPr>
          <w:rFonts w:ascii="Arial" w:hAnsi="Arial"/>
          <w:b w:val="0"/>
          <w:color w:val="000000"/>
          <w:sz w:val="22"/>
        </w:rPr>
        <w:t>We then replicated the design in an independent brain atlas with a fundamentally different pairing structure: 888,263 non-neuronal nuclei from Siletti et al., yielding 1,537 same-region cross-cell-type pairs scored on a fixed 5,000-gene non-HK panel (k_f_fixed). Despite the coarser panel and the absence of any organ contrast, k_f_fixed again increased with lineage distance (ρ = 0.181, P = 9.9 × 10⁻¹³; region-stratified permutation, 10,000 draws, P = 1.0 × 10⁻⁴), although the increase was not monotone across coarse distance bins (Supplementary Fig. 9b). The oligodendrocyte lineage chain provided a directed within-lineage test: median k_f_fixed rose from 0.063 (OPC–COP) to 0.075 (COP–oligodendrocyte) to 0.130 (OPC–oligodendrocyte; 2.06-fold), and the chain ordering held in 52 of 52 shared brain regions (paired Wilcoxon P = 1.8 × 10⁻¹⁰; Supplementary Fig. 9c). Distance-0 anchors (same cell type across regions, n = 31,764 pairs) sat far below the closest cross-lineage pair (median 0.006–0.033 versus 0.063 for OPC–COP; Supplementary Fig. 9f), and a germ-layer prediction was confirmed: microglia (mesoderm) were more distant from macroglia (ectoderm) than macroglia were from each other (median k_f_fixed 0.163 versus 0.123; Mann–Whitney P = 4.5 × 10⁻¹⁴⁶; Supplementary Fig. 9e). (Supplementary Table 17.)</w:t>
      </w:r>
    </w:p>
    <w:p>
      <w:r>
        <w:rPr>
          <w:rFonts w:ascii="Arial" w:hAnsi="Arial"/>
          <w:b w:val="0"/>
          <w:color w:val="000000"/>
          <w:sz w:val="22"/>
        </w:rPr>
        <w:t>The two atlases also delineate the portability boundary of k_n. In the brain design, k_n correlated positively with lineage distance (ρ = 0.300, P = 2.1 × 10⁻³³), reversing its null behaviour in Tabula Sapiens, so that ω decreased with distance (ρ = −0.134) and carried no independent signal after partialling out k_n (ρ = −0.009, P = 0.74). Together with the main-text denominator guidance, these results identify k_f, rather than ω, as the only lineage signal that is portable across pairing designs: k_n tracks whatever baseline variation a given design happens to fix (organ identity in Tabula Sapiens; region identity in the brain atlas), and only k_f responds to lineage distance in both. (Supplementary Fig. 9; Supplementary Tables 16, 17.)</w:t>
      </w:r>
    </w:p>
    <w:p>
      <w:r>
        <w:br w:type="page"/>
      </w:r>
    </w:p>
    <w:p>
      <w:pPr>
        <w:pStyle w:val="Heading2"/>
      </w:pPr>
      <w:r>
        <w:t>Supplementary Note 18: Neuronal Superclass Regional Divergence and Block-Shuffle Control</w:t>
      </w:r>
    </w:p>
    <w:p>
      <w:r>
        <w:rPr>
          <w:rFonts w:ascii="Arial" w:hAnsi="Arial"/>
          <w:b w:val="0"/>
          <w:color w:val="000000"/>
          <w:sz w:val="22"/>
        </w:rPr>
        <w:t>The main-text brain analysis is restricted to non-neuronal classes because the Siletti supercluster_term annotation does not resolve neuronal subtypes below the superclass tier. To test whether that restriction understates atlas-wide regional divergence, we analysed three well-sampled neuronal superclasses from per-superclass slices of the same collection (MGE interneurons, 222,434 nuclei; thalamic excitatory neurons, 85,546; upper-layer intratelencephalic neurons, 455,006) with the identical pipeline: per-file HRT Atlas HK genes (1,115 matched) plus the 5,000 highest-mean non-HK genes, regions retained at ≥ 50 nuclei of the superclass, norm-10,000 log1p region pseudobulks, k_n on HK genes and per-pair top-200 k_f. Observed mean ω was 69.32 (MGE interneurons; 1,770 pairs across 60 regions), 67.91 (thalamic excitatory; 190 pairs, 20 regions), and 63.48 (upper-layer intratelencephalic; 1,035 pairs, 46 regions), against a non-neuronal grand mean of 38.55.</w:t>
      </w:r>
    </w:p>
    <w:p>
      <w:r>
        <w:rPr>
          <w:rFonts w:ascii="Arial" w:hAnsi="Arial"/>
          <w:b w:val="0"/>
          <w:color w:val="000000"/>
          <w:sz w:val="22"/>
        </w:rPr>
        <w:t>The sample-level block-shuffle null of the main analysis (sample_id-to-region permutation preserving the per-region library-count multiset; B = 1,000; seed 42) was applied to each superclass. Regional structure significantly elevated mean ω for MGE interneurons (observed 69.32 versus null 52.39 ± 2.35; P = 0.001, the permutation floor; SES = 7.2) and for upper-layer intratelencephalic neurons (63.48 versus 55.62 ± 3.24; P = 0.014; SES = 2.4); thalamic excitatory neurons did not individually exceed their null (67.91 versus 62.46 ± 5.63; P = 0.163), mirroring the non-neuronal landscape where 4 of 10 classes reject and 6 do not (Results).</w:t>
      </w:r>
    </w:p>
    <w:p>
      <w:r>
        <w:rPr>
          <w:rFonts w:ascii="Arial" w:hAnsi="Arial"/>
          <w:b w:val="0"/>
          <w:color w:val="000000"/>
          <w:sz w:val="22"/>
        </w:rPr>
        <w:t>Decomposing ω = k_f / k_n against the same null shows the elevation is numerator-led and is not an artefact of anchor collapse: regional structure raises k_f and k_n jointly, but k_f more. For MGE interneurons, mean log k_f is −3.2 observed versus −4.29 under the null (3.0-fold in k_f) while mean log k_n is −7.32 versus −8.15 (2.3-fold in k_n; median fold-changes 3.2 versus 2.5); upper-layer intratelencephalic neurons behave similarly (2.8-fold versus 2.4-fold; medians 2.9 versus 2.6). In thalamic excitatory neurons the two components rise in near-lockstep (1.7-fold versus 1.6-fold), consistent with its non-rejection. A donor-stratified null (region labels permuted within each of the 4 donors; B = 1,000) leaves the conclusions unchanged (MGE P = 0.001, SES = 7.1; upper-layer IT P = 0.012, SES = 2.3; thalamic P = 0.160, SES = 1.0), and leave-one-donor-out medians remain elevated for MGE (47.4–64.2) and upper-layer IT (41.3–58.6). The thalamic test is the least powered (20 regions, 84 libraries; null SD 4.4 versus 2.3 for MGE) and its estimate is the most donor-sensitive (leave-one-out medians 25.4–76.4), so its non-rejection is read as underpowered rather than negative. Raw data: results/nc75_brain_neuron_decomposition.csv.</w:t>
      </w:r>
    </w:p>
    <w:p>
      <w:r>
        <w:rPr>
          <w:rFonts w:ascii="Arial" w:hAnsi="Arial"/>
          <w:b w:val="0"/>
          <w:color w:val="000000"/>
          <w:sz w:val="22"/>
        </w:rPr>
        <w:t>The cross-class contrast is decisive at the pair level. Neuronal pairs (n = 2,995; median ω 62.17) exceed the full non-neuronal landscape (n = 31,764; median 28.68; 24.50 excluding astrocytes): one-sided Mann–Whitney z = 52.6, P ≈ 10⁻⁶⁰² (normal approximation), rank-biserial 0.58, P(neuronal &gt; non-neuronal) = 0.79, and every superclass is individually significant (weakest, thalamic excitatory: P = 8.5 × 10⁻³⁷). Astrocytes are the sole non-neuronal exception (median 73.37, above the neuronal median; P = 0.41 for neuronal &gt; astrocytic) and themselves exceed the remaining nine non-neuronal classes (z = 94.1, P ≈ 10⁻¹⁹²⁶), consistent with their known regional specialization (Results). At the subcluster tier the same pipeline yields 48,450 pairs (median ω 21.22) dominated by region-restricted subclusters with few pairs, so superclass-level values are the appropriate tier for cross-class comparison. The non-neuronal screen therefore understates atlas-wide regional divergence: neuronal superclasses—like astrocytes—carry substantially higher cross-region divergence than the remaining non-neuronal classes. (Fig. 5e, f; Supplementary Fig. 7; Supplementary Table 11.)</w:t>
      </w:r>
    </w:p>
    <w:p>
      <w:r>
        <w:br w:type="page"/>
      </w:r>
    </w:p>
    <w:p>
      <w:pPr>
        <w:pStyle w:val="Heading2"/>
      </w:pPr>
      <w:r>
        <w:t>Supplementary Note 19: Program-Level Diffuseness and a Sub-Threshold Disease Anchor</w:t>
      </w:r>
    </w:p>
    <w:p>
      <w:r>
        <w:rPr>
          <w:rFonts w:ascii="Arial" w:hAnsi="Arial"/>
          <w:b w:val="0"/>
          <w:color w:val="000000"/>
          <w:sz w:val="22"/>
        </w:rPr>
        <w:t>To ask whether the non-neuronal regional signal concentrates in specific functional programs, we recomputed the landscape with k_f restricted to MSigDB Hallmark gene sets (∩ non-HK; 40 programs with ≥ 20 genes) for the 10 non-neuronal classes, against a size-bucketed random-gene-set null (2,000 draws per size bucket; Benjamini–Hochberg across all 400 tests). No test survived correction (minimum q = 0.233): regional drift is diffuse rather than program-specific. The only sub-threshold concentration is peroxisomal–lipid metabolism: all 11 tests with empirical P ≤ 0.01 (4.0 expected under the global null) are the Peroxisome or Bile Acid Metabolism programs, spanning 7 of 10 classes and strongest in Bergmann glia and microglia (mean ω 11.4–17.7 versus null means 1.5–2.5). We read this as hypothesis-generating metabolic structure, not detection. Raw data: results/brain_hallmark_program_omega.csv.</w:t>
      </w:r>
    </w:p>
    <w:p>
      <w:r>
        <w:rPr>
          <w:rFonts w:ascii="Arial" w:hAnsi="Arial"/>
          <w:b w:val="0"/>
          <w:color w:val="000000"/>
          <w:sz w:val="22"/>
        </w:rPr>
        <w:t>As an external disease anchor we applied a donor-level design to SEA-AD (CELLxGENE collection 1ca90a2d; middle temporal gyrus; microglia-PVM and astrocyte slices): pseudobulks per donor, ADNC ‘High’ (42 donors) versus ‘Not AD’/‘Reference’ controls (donors with ≥ 50 nuclei), testing pre-registered gene sets—the Keren-Shaul disease-associated-microglia (DAM) core set (18 genes), Liddelow-2017 pan-reactive/A1/A2 astrocyte sets, and the Krasemann homeostatic-microglia set—with the pre-registered genes merged into the reduced panel and excluded from the null sampling pool (under the standard HVG panel only 12 of 18 DAM genes map; LPL, CST7, CSF1, CCL2, CD9 and LYZ rank below the top-5,000 HVGs). The pan-reactive-astrocyte set was elevated in astrocytes (ω 6.87 versus null 2.40 ± 1.39; P = 0.0145) and the DAM core set in astrocytes (ω 4.49; P = 0.041), with a directional but non-significant elevation in microglia (ω 4.39 versus null 2.58; P = 0.073); the negative controls behaved cleanly—the homeostatic-microglia set in astrocytes sat far below the null (ω 0.74; P = 0.996) and the A2-astrocyte set in microglia at the floor (ω 0.04; P = 1.0). Benjamini–Hochberg across the 10 tests left nothing significant (minimum q = 0.145), so the anchor provides directional, sub-threshold evidence that the pipeline responds to known Alzheimer’s biology, not detection. (Supplementary Fig. 7; Supplementary Table 14.)</w:t>
      </w:r>
    </w:p>
    <w:p>
      <w:pPr>
        <w:pStyle w:val="Heading2"/>
      </w:pPr>
      <w:r>
        <w:t>Supplementary Note 20: A Scoped Theoretical Framework for ω</w:t>
      </w:r>
    </w:p>
    <w:p>
      <w:r>
        <w:rPr>
          <w:rFonts w:ascii="Arial" w:hAnsi="Arial"/>
          <w:b w:val="0"/>
          <w:color w:val="000000"/>
          <w:sz w:val="22"/>
        </w:rPr>
        <w:t>This note states precisely what ω estimates, under which conditions, and with what error, connecting the operational algorithm (Methods) to the interpretation used in the main text. We adopt a generative factor model for the log-expression of a population, log x = σ + β + φ, where σ is a global scale (sequencing depth, capture efficiency), β a background factor (technical variation plus neutral drift), and φ a functional factor that vanishes on genes whose regulation does not change. Because β and φ enter the observed vector only through their sum, separating them requires an explicit exclusion restriction; the identification argument is given after Proposition 3 below. All statements are scoped to this model class and to the brain-order normalization p = softmax(log1p(c)); no claim is made outside them. Raw diagnostics: results/theory_diagnostics.csv (script notebooks/85_theory_diagnostics.py; Supplementary Fig. 2).</w:t>
      </w:r>
    </w:p>
    <w:p>
      <w:r>
        <w:rPr>
          <w:rFonts w:ascii="Arial" w:hAnsi="Arial"/>
          <w:b w:val="0"/>
          <w:color w:val="000000"/>
          <w:sz w:val="22"/>
        </w:rPr>
        <w:t>Lemma 1 (exact cancellation of global scale). Under log-softmax normalization, multiplying all counts of a population by any positive constant leaves its probability vector unchanged: the additive log-space shift cancels between numerator and denominator, so σ contributes exactly nothing to k_n, k_f, or ω. The implemented log1p transform deviates from a pure logarithm: log1p(cx) − log1p(x) = log c + (1/(cx) − 1/x) + O(1/x²), so rescaling leaks a gene-dependent field (1/c − 1)/x rather than an exact constant. The leak is explicitly bounded: for c ∈ [1/2, 2] its p-weighted energy is at most ((1 − c)/c)² Var_p(1/x), which is ≤ 10⁻⁴ ((1 − c)/c)² at pseudobulk count scales (detected genes have x ≥ 10²); depth differences are therefore removed up to a quantified O(1/x) leak, not merely asserted away (consistent with the twofold-depth scenario of Supplementary Note 1: c = 2, bound ≤ Var_p(1/x)/4).</w:t>
      </w:r>
    </w:p>
    <w:p>
      <w:r>
        <w:rPr>
          <w:rFonts w:ascii="Arial" w:hAnsi="Arial"/>
          <w:b w:val="0"/>
          <w:color w:val="000000"/>
          <w:sz w:val="22"/>
        </w:rPr>
        <w:t>Lemma 1b (from log-factors to probability displacements). For q = softmax(log x + g) relative to p = softmax(log x), a first-order expansion of the softmax gives δ_i = q_i − p_i = p_i(g_i − ḡ) + O(p_i||g||²), with ḡ = Σ_j p_j g_j the p-weighted mean and ||g||² = Σ_i p_i g_i² the p-weighted L2 norm (all norms below); Σ_i δ_i = 0 exactly, since q is itself a probability vector. The natural energy of a log-factor g on the simplex is the p-weighted variance Var_p(g) = Σ_i p_i (g_i − ḡ)², since Σ_i δ_i²/p_i = Var_p(g) + O(||g||³). We therefore define energies on a panel as E_b = Var_p(β) and E_f = Var_p(φ), and for the summed displacement β + φ the quadratic form decomposes as Σ_i δ_i²/p_i = E_b + E_f + 2C_bf + O(||β + φ||³), where C_bf = Cov_p(β, φ) = Σ_i p_i (β_i − β̄)(φ_i − φ̄) is the cross term. This decomposition, not the unweighted Σg_i²/p_i, is the correct probability-scale reading of the log-space factor model. Throughout, E_b is evaluated on the HK panel and E_f, C_bf on the pair-specific top-200 panel (on the respective panels).</w:t>
      </w:r>
    </w:p>
    <w:p>
      <w:r>
        <w:rPr>
          <w:rFonts w:ascii="Arial" w:hAnsi="Arial"/>
          <w:b w:val="0"/>
          <w:color w:val="000000"/>
          <w:sz w:val="22"/>
        </w:rPr>
        <w:t>Lemma 2 (second-order expansion of JS with explicit remainder). For probability vectors p and q = p + δ on a panel, coordinate-separability of the Shannon entropy gives, by a third-order Taylor expansion of JS(p, q) = H((p + q)/2) − (H(p) + H(q))/2 (base-2): JS(p, q) = (1/(8 ln 2)) Σ_i δ_i²/p_i + R, with exact Lagrange remainder |R| ≤ (5/(48 ln 2)) Σ_i |δ_i|³/(p_i − |δ_i|)_+². The linear term vanishes pointwise, so no Σδ = 0 assumption is needed. Diagnostic (2,937 real pairs): the median relative error |JS − Q|/JS of the quadratic form Q was 0.23% on the HK panel under split-half nulls (brain and Tabula Sapiens) and 2.5–4.0% on observed cross-region/cross-organ pairs (90th percentile ≤ 9.7%); on the pair-specific top-200 panel the error was 1.1–2.1% under nulls but 10–18% on observed pairs (90th percentile up to 103% in brain), where per-gene relative displacements exceed 1. The expansion is therefore quantitative at the k_n scale and approximate at the k_f scale; statements below inherit this scoping (condition C1).</w:t>
      </w:r>
    </w:p>
    <w:p>
      <w:r>
        <w:rPr>
          <w:rFonts w:ascii="Arial" w:hAnsi="Arial"/>
          <w:b w:val="0"/>
          <w:color w:val="000000"/>
          <w:sz w:val="22"/>
        </w:rPr>
        <w:t>Conditions. C1 (quadratic regime): per-gene relative displacement |δ_i|/p_i is small, so |R| is negligible against Q—verified above for k_n, approximate for k_f. C2 (stable selection inflation): α is a panel conversion factor for background energy, α = E_b(top-200)/E_b(HK)—the factor by which pair-specific top-200 selection inflates total background displacement energy relative to the HK panel; it multiplies E_b only, because selection operates on background magnitudes. Estimated on split-half null pairs (where E_f = 0 by construction) as the ratio of mean per-gene background energy (top-200 versus HK panel), α had median 14 (brain; 10–90% 10.3–22.1) and 8.5 (Tabula Sapiens; 7.0–14.5)—an order-statistic (winner’s-curse) effect of selecting the largest |difference| genes, of the same order as the empirical split-half baselines 6.67–9.73 (Supplementary Note 3). The residual gap (median 14 in brain versus the 9.73 brain baseline, which sits near the 10th percentile of the α distribution) is directionally expected: α is a per-gene energy ratio, whereas the baseline additionally folds in panel-size and composition differences between the 200-gene and ~1,130-gene sets and the k_f-scale expansion error diagnosed above, so the calibration constant admits a theoretical reading only up to these factors. Operationally the theoretical α is used only for the qualitative structure of the estimand; absolute calibration always uses the empirical split-half baselines (9.73 brain, 7.70 mouse), so the ≈ 1.4-fold gap between the two readings does not propagate into any reported statistic. C3 (stable functional panel): the pair-specific panel is not noise-driven beyond C2; quantified by the leave-pair-out ablation (Supplementary Note 9). C4 (adequate count depth): multinomial sampling contributes (d − 1)/(4N ln 2) to JS, below the background energy at the pseudobulk depths used here (Supplementary Note 16; notebooks/84). C5 (uncorrelated factors): the background and functional factors are uncorrelated under the p-weighted measure, C_bf = Cov_p(β, φ) = 0, so the cross term of Lemma 1b vanishes. Unlike C1–C4 this is an exclusion-style modeling assumption—the two factors are not separately observable on real pairs—so every statement below that invokes C5 is stated together with its worst-case relaxation: by Cauchy–Schwarz |2C_bf| ≤ 2√(E_b E_f), hence if C5 fails ω is biased by at most 2C_bf/E_b, bounded by 2√(E_f/E_b), which is small exactly when the functional signal dominates the background.</w:t>
      </w:r>
    </w:p>
    <w:p>
      <w:r>
        <w:rPr>
          <w:rFonts w:ascii="Arial" w:hAnsi="Arial"/>
          <w:b w:val="0"/>
          <w:color w:val="000000"/>
          <w:sz w:val="22"/>
        </w:rPr>
        <w:t>Proposition 3 (estimand). Under C1–C4 and the generative model, k_n ≈ (1/(8 ln 2)) E_b on the HK panel, while on the pair-specific panel k_f ≈ (1/(8 ln 2)) (E_f + 2C_bf + αE_b), with E_b, E_f, and C_bf as defined in Lemma 1b (the p-weighted (co)variances of the log-factors, not the unweighted Σg_i²/p_i). The cross term 2C_bf is intrinsic to the quadratic form of the summed displacement β + φ and cannot be dropped without a condition. Under C5 it vanishes and ω = α + E_f/E_b + ε, with |ε| bounded by the Lemma-2 remainders, the C4 sampling term, and the pair-to-pair spread of α (C2)—the dominant term, which is exactly why absolute ω is dataset-relative. Without C5 the estimand is ω = α + (E_f + 2C_bf)/E_b + ε: functional and background energy no longer separate, and ω picks up 2C_bf/E_b, bounded in magnitude by 2√(E_f/E_b) (Cauchy–Schwarz). In words: ω measures the ratio of functional to background displacement energy on the probability simplex—up to the cross term, which C5 excludes and the bound quantifies—shifted by the selection constant α that the split-half baseline estimates; the calibrated statistic satisfies ω_cal − 1 ≈ E_f/(αE_b) under C5. Within the model class this is the quantity ω corresponds to—an approximation conditional on the post-selection panel (the pair-specific top-200 set is itself data-selected, so E_f and α are defined relative to that selection rather than to a fixed gene set) and quantitative only at the k_n scale under C1.</w:t>
      </w:r>
    </w:p>
    <w:p>
      <w:r>
        <w:rPr>
          <w:rFonts w:ascii="Arial" w:hAnsi="Arial"/>
          <w:b w:val="0"/>
          <w:color w:val="000000"/>
          <w:sz w:val="22"/>
        </w:rPr>
        <w:t>Identification (how β and φ are separated). The observed displacement identifies only the sum β + φ; writing down the factor model log x = σ + β + φ does not by itself determine the two factors. Separation requires one exclusion restriction and three measurements. A1 (exclusion restriction): the functional factor vanishes on housekeeping genes, φ = 0 on the HK panel—HK genes are pre-specified for stable expression across conditions (Methods), so condition-driven regulatory change is excluded from that panel by assumption. A1 is not guaranteed by construction: IFN-β stimulation lowers ACTB and GAPDH by roughly 40% and raises k_n 1.2-5.7-fold (Supplementary Note 8), defining the anchor-visibility boundary of A1; a marked rise in k_n itself is the operative signal that A1 has failed in a given contrast. Under A1: (i) k_n on the HK panel identifies E_b (Proposition 3); (ii) split-half null pairs, on which E_f = 0 by construction, identify α = E_b(top-200)/E_b(HK) (C2); (iii) on an observed pair, k_f identifies E_f + 2C_bf + αE_b, and subtracting αk_n identifies E_f + 2C_bf—equal to E_f under C5. Three unknowns (E_b, α, E_f) meet three measurements in a linear system with a unique solution within the scoped approximation, so the decomposition is identified, not merely defined. The two restrictions play different roles: without A1 no calibration can separate E_f from αE_b using (k_f, k_n) alone; without C5 the identified functional quantity is E_f + 2C_bf, with the Cauchy–Schwarz bound above. The post-selection caveat of Proposition 3 applies throughout: E_f and α are defined relative to the data-selected panel.</w:t>
      </w:r>
    </w:p>
    <w:p>
      <w:r>
        <w:rPr>
          <w:rFonts w:ascii="Arial" w:hAnsi="Arial"/>
          <w:b w:val="0"/>
          <w:color w:val="000000"/>
          <w:sz w:val="22"/>
        </w:rPr>
        <w:t>Proposition 4 (conditional monotonicity; local strict increase; global saturation). Three statements that are easily conflated must be separated. (a) Approximate layer: in the quadratic form, strengthening the functional factor (φ → λφ, λ &gt; 1) with background fixed gives ω(λ) = α + (λ²E_f + 2λC_bf)/E_b (with α held fixed; strengthening φ can shift the top-200 panel and hence α, per the post-selection caveat of Proposition 3), so ∂ω/∂λ = 2(λE_f + C_bf)/E_b. Under C5 this is strictly positive for all λ &gt; 0: the approximate estimand increases strictly with functional change. Without C5 the same conclusion holds if and only if λE_f + C_bf &gt; 0; by Cauchy–Schwarz it is guaranteed once λ²E_f &gt; E_b (functional energy exceeds background energy) and can fail for weak functional signals under adversarial negative covariance—“stronger functional change implies larger ω” is a conditional statement, not a universal one: the cross term scales as λ, not λ², so no α-independent monotonicity exists outside C5. (b) Raw-JS layer: JS(p, q(λ)) is smooth in λ, and by Lemma 2 its derivative equals that of the quadratic form plus a remainder derivative of order O(Σ_i (|δ_i|/p_i)² |dδ_i/dλ|). At the k_n scale, where C1 is verified, the remainder is negligible and the sign of ∂ω/∂λ is inherited by the raw ratio in a neighborhood of the observed λ. At the k_f scale, where the Lemma-2 diagnostic reaches 103% at the 90th percentile, no such quantitative bound survives: the statement is qualitative there, and its empirical support is the ground-truth grid below rather than the expansion. (c) Global layer: JS is bounded by 1 bit, so no global monotonicity can hold; claims are restricted to the operating regime diagnosed in Lemma 2 and confirmed on ground truth. Ground-truth check (factorial grid of Supplementary Note 1, constructed with C_bf = 0 and therefore covering the C5 branch only): at zero background drift ω rose monotonically with the injected shift δ (Spearman ρ = 0.688, P = 5.1 × 10⁻¹⁶²; grid means 10.2 → 27.2 over δ = 0–2, baseline offset ≈ α as predicted) while k_n stayed flat (ρ = 0.004); under pure HK-anchored drift (δ = 0) ω declined (ρ = −0.821, driven by the k_n denominator, ρ = +0.888)—background drift moves ω downward, never upward, matching the drift-rejection specificity of Supplementary Notes 1 and 6.</w:t>
      </w:r>
    </w:p>
    <w:p>
      <w:r>
        <w:rPr>
          <w:rFonts w:ascii="Arial" w:hAnsi="Arial"/>
          <w:b w:val="0"/>
          <w:color w:val="000000"/>
          <w:sz w:val="22"/>
        </w:rPr>
        <w:t>Proposition 5 (calibration bias, delta method). The ratio estimator inherits second-order bias E[ω] ≈ (μ_f/μ_n)(1 + CV_n² − ρ CV_f CV_n). From the split-half products (Supplementary Note 3): CV_n = 0.056 (brain) / 0.091 (mouse), CV_f = 0.096 / 0.240, ρ(k_f, k_n) = 0.92 / 0.73, giving relative bias −0.18% (brain) and −0.76% (mouse)—negligible against reported effects, and dominated by the between-population spread of the calibration denominator that the joint bootstrap propagates (Supplementary Note 3). These class-level predictions reconcile with the pooled empirical estimate of Supplementary Note 4 (median +0.2% across groups, pooled −1.8%): the pooled figure aggregates all 1,450 replicates including the smallest-denominator groups (bias up to +6.5%), whereas the delta-method inputs above are class-level means; the two aggregations bracket the same small effect.</w:t>
      </w:r>
    </w:p>
    <w:p>
      <w:r>
        <w:rPr>
          <w:rFonts w:ascii="Arial" w:hAnsi="Arial"/>
          <w:b w:val="0"/>
          <w:color w:val="000000"/>
          <w:sz w:val="22"/>
        </w:rPr>
        <w:t>What the HK denominator adds beyond k_f with a correct null. (i) Identifiability: this is the three-measurement argument above in operational form—k_f alone estimates the sum E_f + 2C_bf + αE_b; functional and background energy cannot be separated from k_f by any calibration that does not measure E_b independently—the HK panel supplies that measurement (A1), making E_f/E_b identifiable under C5 (and E_f + 2C_bf identifiable without it). (ii) Studentization: a valid per-pair null for k_f must condition on the pair’s own background magnitude, which is unobservable; dividing by k_n yields a statistic whose null is approximately ancillary to it—the same logic by which dividing by the sample standard deviation turns a mean difference into a t-statistic. Empirically, the cross-class dispersion of the split-half null collapses under studentization: across the 10 brain classes the coefficient of variation of the class-level null median falls from 1.21 (k_f) to 0.148 (ω), and the max/min ratio from 195 to 1.63; across mouse tissue-cell-type populations from 0.436 to 0.251 (max/min 3.87 to 2.06)—the ω null is up to eightfold more portable across classes, which is what licenses a single global calibration. (iii) Measured error rates: the measurable gain of the denominator is against anchor-free global metrics—under injected compositional drift, raw JS and cosine false-positive rates reach 0.55–1.00 versus 0.000–0.067 for ω (Supplementary Notes 1, 6)—whereas k_f-only is itself specific under the same drift (0.007–0.020), so false-positive rates alone do not separate ω from a k_f-only analysis; under a composition-preserving gene-identity swap, ω and all comparators fire at 1.00 (Supplementary Note 6, N2). The error-rate argument thus supports the ratio structure against anchor-free baselines, and the TCGA reversal is a k_n phenomenon invisible to any k_f-only analysis (Supplementary Note 10).</w:t>
      </w:r>
    </w:p>
    <w:p>
      <w:r>
        <w:rPr>
          <w:rFonts w:ascii="Arial" w:hAnsi="Arial"/>
          <w:b w:val="0"/>
          <w:color w:val="000000"/>
          <w:sz w:val="22"/>
        </w:rPr>
        <w:t>Scope. Lemma 1 is exact for the stated normalization; Lemma 2 is exact mathematics with an explicit remainder; Propositions 3–5 are model-relative and conditional on C1–C5, each checked on real data above or in the referenced notes. Where a condition holds only approximately (C1 at the k_f scale; C2 as a stable-but-variable α), the corresponding statements are approximations, and the main-text claims relying on them are phrased accordingly. C5 differs in kind: it is an exclusion-style assumption, not an approximation, and is not separately verifiable on observed pairs; statements invoking it (Propositions 3–4) therefore carry the explicit Cauchy–Schwarz worst-case bias 2√(E_f/E_b), and the main-text monotonicity claim is phrased as conditional accordingly.</w:t>
      </w:r>
    </w:p>
    <w:p>
      <w:r>
        <w:br w:type="page"/>
      </w:r>
    </w:p>
    <w:p>
      <w:pPr>
        <w:pStyle w:val="Heading2"/>
      </w:pPr>
      <w:r>
        <w:t>Supplementary Methods</w:t>
      </w:r>
    </w:p>
    <w:p>
      <w:r>
        <w:rPr>
          <w:rFonts w:ascii="Arial" w:hAnsi="Arial"/>
          <w:b w:val="0"/>
          <w:color w:val="000000"/>
          <w:sz w:val="22"/>
        </w:rPr>
        <w:t>Sections 5.1–5.14 collect, verbatim, the full procedural detail compressed out of the main-text Methods in v51. All parameter values, scripts, and output files are preserved; subsection numbering follows the main-text Methods order.</w:t>
      </w:r>
    </w:p>
    <w:p>
      <w:r>
        <w:rPr>
          <w:rFonts w:ascii="Arial" w:hAnsi="Arial"/>
          <w:b/>
          <w:color w:val="000000"/>
          <w:sz w:val="22"/>
        </w:rPr>
        <w:t>5.1 CKI computation</w:t>
      </w:r>
    </w:p>
    <w:p>
      <w:r>
        <w:rPr>
          <w:rFonts w:ascii="Arial" w:hAnsi="Arial"/>
          <w:b w:val="0"/>
          <w:color w:val="000000"/>
          <w:sz w:val="22"/>
        </w:rPr>
        <w:t>We normalize raw count matrices to 10,000 counts per cell and apply log1p transformation [42]. Pseudobulk vectors average expression across cells sharing the same cell-type annotation (at least 20 cells per entry (pseudobulk group); at least one donor/mouse contributing at least 10 cells). Housekeeping (HK) genes are loaded from the HRT Atlas v1.0 reference [13]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r>
        <w:rPr>
          <w:rFonts w:ascii="Arial" w:hAnsi="Arial"/>
          <w:b w:val="0"/>
          <w:color w:val="000000"/>
          <w:sz w:val="22"/>
        </w:rPr>
        <w:t>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 package default from v0.5.x is the brain order, softmax(log1p(mean counts)), which matches the count-space formula exactly; the reverse order is retained only as a legacy option for reproducing the mouse and human pilots. Calibration constants are pipeline-internal and must not be transferred across pipelines: an ω calibrated under one aggregation order is not comparable to an ω computed under the other. A same-data quantification on the mouse pilot’s 15 comparisons (recomputing ω under both orders on identical cells) confirms the warning: the rank ordering is largely preserved (Spearman ρ = 0.78), but absolute values shift (median fold 0.96, up to 9.8-fold per comparison), and the split-control median baseline itself moves from 6.46 to 10.94 (results/nc49_agg_order_sensitivity.csv). Then k_n = JS(norm(ε_A[H]), norm(ε_B[H])), where H is the set of HK gene indices; k_f = JS(norm(ε_A[I]), norm(ε_B[I])), where I is the set of top-2,000 highly variable genes (HVGs; Seurat flavor) excluding HK genes; ω = k_f/k_n, with JS divergence [43]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r>
        <w:rPr>
          <w:rFonts w:ascii="Arial" w:hAnsi="Arial"/>
          <w:b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0.5.4.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r>
        <w:rPr>
          <w:rFonts w:ascii="Arial" w:hAnsi="Arial"/>
          <w:b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r>
        <w:rPr>
          <w:rFonts w:ascii="Arial" w:hAnsi="Arial"/>
          <w:b/>
          <w:color w:val="000000"/>
          <w:sz w:val="22"/>
        </w:rPr>
        <w:t>5.2 Permutation testing</w:t>
      </w:r>
    </w:p>
    <w:p>
      <w:r>
        <w:rPr>
          <w:rFonts w:ascii="Arial" w:hAnsi="Arial"/>
          <w:b w:val="0"/>
          <w:color w:val="000000"/>
          <w:sz w:val="22"/>
        </w:rPr>
        <w:t>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These P &gt; 0.9 values coexist with cluster-bootstrap CIs that exclude 1 in four of five cancer types, and the two are not contradictory: the permutation null tests exchangeability of tumor and normal labels at the aggregate level under a fixed identity panel—a test with essentially no power here, because aggregate k_n sits at the denominator floor in 3 of 5 cancer types—whereas the bootstrap CIs quantify the sampling uncertainty of the within-cancer NN/TT pairing structure. The aggregate-level permutation test is accordingly uninformative for the reversal claim, which rests on the pair-level cluster bootstrap.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[44] is applied within each dataset; larger-scale analyses are supplemented with non-parametric tests and descriptive statistics.</w:t>
      </w:r>
    </w:p>
    <w:p>
      <w:r>
        <w:rPr>
          <w:rFonts w:ascii="Arial" w:hAnsi="Arial"/>
          <w:b/>
          <w:color w:val="000000"/>
          <w:sz w:val="22"/>
        </w:rPr>
        <w:t>5.3 Datasets: Tabula Muris, Tabula Sapiens, TCGA</w:t>
      </w:r>
    </w:p>
    <w:p>
      <w:r>
        <w:rPr>
          <w:rFonts w:ascii="Arial" w:hAnsi="Arial"/>
          <w:b w:val="0"/>
          <w:color w:val="000000"/>
          <w:sz w:val="22"/>
        </w:rPr>
        <w:t>Tabula Muris FACS SmartSeq2 [8]: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[45] with flavor="seurat" [46,47] and n_top_genes=2,000.</w:t>
      </w:r>
    </w:p>
    <w:p>
      <w:r>
        <w:rPr>
          <w:rFonts w:ascii="Arial" w:hAnsi="Arial"/>
          <w:b w:val="0"/>
          <w:color w:val="000000"/>
          <w:sz w:val="22"/>
        </w:rPr>
        <w:t>Tabula Sapiens v1.0 [9]: accessed via CZ CELLxGENE Discover [48].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r>
        <w:rPr>
          <w:rFonts w:ascii="Arial" w:hAnsi="Arial"/>
          <w:b w:val="0"/>
          <w:color w:val="000000"/>
          <w:sz w:val="22"/>
        </w:rPr>
        <w:t>TCGA bulk RNA-seq [49]: five cancer types from NCI Genomic Data Commons, accessed via TCGAbiolinks [50] and cBioPortal [51] APIs. LUAD: 493 tumor + 76 normal; LUSC: 534 tumor + 58 normal; LIHC: 398 tumor + 57 normal; KIRC: 750 tumor + 82 normal; BRCA: 1010 tumor + 109 normal (3,535 samples entering the pair-level analysis under the ex-CC default: of the 3,596 expression-matrix samples, 3 do not appear in the assembled pair table, 26 further samples appear only in tumor–normal pairs and never enter the tumor–tumor or normal–normal comparisons, and the 32 cell-line-derived aliquots identified by the barcode audit below are excluded from all v52 analyses; the pair table itself spans 3,593 unique barcodes, the denominator of the barcode audit in Methods). TPM values from UCSC Xena; within each cancer type, genes with mean expression below 0.5 TPM were removed, and the retained values were log2(TPM + 1) transformed. BRCA PAM50 subtype assignments [52,53] were retrieved from cBioPortal (brca_tcga_pub study, PAM50_SUBTYPE clinical attribute; 522 samples with subtype calls). LIHC Edmondson grade [54]: from cBioPortal, 372 patients with grade calls in the cached pull (289 ex-CC tumors with pair coverage entered the analysis). LUAD mutations: from cBioPortal, 492 samples (61 EGFR, 120 KRAS, 311 WT). Sample provenance followed the TCGA barcode sample-source code (positions 14–15): the 32 cell-line-derived LIHC samples (source code CC, ILSBio liver cancer lines) shipped in the LUSC matrix were assigned to LIHC following a barcode audit and are excluded from all reported analyses (the ex-CC default); the pre-exclusion outputs are archived under results/superseded/.</w:t>
      </w:r>
    </w:p>
    <w:p>
      <w:r>
        <w:rPr>
          <w:rFonts w:ascii="Arial" w:hAnsi="Arial"/>
          <w:b/>
          <w:color w:val="000000"/>
          <w:sz w:val="22"/>
        </w:rPr>
        <w:t>5.4 Dataset: human brain atlas</w:t>
      </w:r>
    </w:p>
    <w:p>
      <w:r>
        <w:rPr>
          <w:rFonts w:ascii="Arial" w:hAnsi="Arial"/>
          <w:b w:val="0"/>
          <w:color w:val="000000"/>
          <w:sz w:val="22"/>
        </w:rPr>
        <w:t>Human brain atlas [12]: Siletti et al. (2023) single-nucleus RNA-seq (v3.11) from CZ CELLxGENE Discover 48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r>
        <w:rPr>
          <w:rFonts w:ascii="Arial" w:hAnsi="Arial"/>
          <w:b/>
          <w:color w:val="000000"/>
          <w:sz w:val="22"/>
        </w:rPr>
        <w:t>5.5 Method comparison</w:t>
      </w:r>
    </w:p>
    <w:p>
      <w:r>
        <w:rPr>
          <w:rFonts w:ascii="Arial" w:hAnsi="Arial"/>
          <w:b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were computed using scikit-learn. The four correlations of ω with the standard metrics carry entry-clustered bootstrap 95% CIs (the 99 pseudobulk entries resampled with replacement, each pair weighted by the product of its endpoint multiplicities; B = 5,000, seed 42; scripts/nc52_stats_resampling.py; results/nc52_stats_tabula_entrycluster.csv): ω versus raw JS −0.40 [−0.54, −0.23], versus Spearman distance −0.46 [−0.58, −0.34], versus cosine distance −0.39 [−0.52, −0.23], and versus marker Jaccard distance −0.36 [−0.51, −0.19] — all excluding 0; these cluster-aware intervals replace the independence-assuming P-values of earlier versions (the P &lt; 10⁻¹⁴⁵ caliber is retired). The component decomposition (results/reviewer_decomposition_correlations.csv): k_f correlated positively with the standard metrics (r = +0.43 to +0.72), k_n more strongly (r = +0.69 to +0.81), and conditional on k_n all four ω correlations turned positive (partial r = +0.11 to +0.54, entry-clustered CIs excluding 0).</w:t>
      </w:r>
    </w:p>
    <w:p>
      <w:r>
        <w:rPr>
          <w:rFonts w:ascii="Arial" w:hAnsi="Arial"/>
          <w:b/>
          <w:color w:val="000000"/>
          <w:sz w:val="22"/>
        </w:rPr>
        <w:t>5.6 Multiplicative residual model (brain)</w:t>
      </w:r>
    </w:p>
    <w:p>
      <w:r>
        <w:rPr>
          <w:rFonts w:ascii="Arial" w:hAnsi="Arial"/>
          <w:b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r>
        <w:rPr>
          <w:rFonts w:ascii="Arial" w:hAnsi="Arial"/>
          <w:b/>
          <w:color w:val="000000"/>
          <w:sz w:val="22"/>
        </w:rPr>
        <w:t>5.7 Brain robustness analyses and donor-stratified null</w:t>
      </w:r>
    </w:p>
    <w:p>
      <w:r>
        <w:rPr>
          <w:rFonts w:ascii="Arial" w:hAnsi="Arial"/>
          <w:b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 Donor-level uncertainty (v52): for the equal-n, span-matched, and combined span- and size-matched gradients, a donor cluster bootstrap (B = 1,000, seed 42; the four donors resampled with replacement, the full pipeline including cell-level downsampling recomputed per resample; percentile 95% CI) and leave-one-donor-out replicates were computed (script notebooks/nc52_brain_donor_bootstrap.py). RNA-quality proxies (v52): per-pair (class, library)-level and (class, region)-level OLS of log10(k_n/k_f/ω) on mean detected genes, mean total UMI, and mitochondrial fraction (scripts notebooks/nc52_brain_quality_regression.py, notebooks/nc52_brain_quality_mito.py).</w:t>
      </w:r>
    </w:p>
    <w:p>
      <w:r>
        <w:rPr>
          <w:rFonts w:ascii="Arial" w:hAnsi="Arial"/>
          <w:b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r>
        <w:rPr>
          <w:rFonts w:ascii="Arial" w:hAnsi="Arial"/>
          <w:b/>
          <w:color w:val="000000"/>
          <w:sz w:val="22"/>
        </w:rPr>
        <w:t>5.8 Ground-truth simulation</w:t>
      </w:r>
    </w:p>
    <w:p>
      <w:r>
        <w:rPr>
          <w:rFonts w:ascii="Arial" w:hAnsi="Arial"/>
          <w:b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r>
        <w:rPr>
          <w:rFonts w:ascii="Arial" w:hAnsi="Arial"/>
          <w:b/>
          <w:color w:val="000000"/>
          <w:sz w:val="22"/>
        </w:rPr>
        <w:t>5.9 Real perturbation demonstration (IFN-β PBMC)</w:t>
      </w:r>
    </w:p>
    <w:p>
      <w:r>
        <w:rPr>
          <w:rFonts w:ascii="Arial" w:hAnsi="Arial"/>
          <w:b w:val="0"/>
          <w:color w:val="000000"/>
          <w:sz w:val="22"/>
        </w:rPr>
        <w:t>To test ω on a real perturbation with known ground truth, we re-analyzed the droplet arm of Kang et al. [14]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8):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r>
        <w:rPr>
          <w:rFonts w:ascii="Arial" w:hAnsi="Arial"/>
          <w:b/>
          <w:color w:val="000000"/>
          <w:sz w:val="22"/>
        </w:rPr>
        <w:t>5.10 Neutral-drift calibration on technical replicates</w:t>
      </w:r>
    </w:p>
    <w:p>
      <w:r>
        <w:rPr>
          <w:rFonts w:ascii="Arial" w:hAnsi="Arial"/>
          <w:b w:val="0"/>
          <w:color w:val="000000"/>
          <w:sz w:val="22"/>
        </w:rPr>
        <w:t>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[14]: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[13]), k_f, ω, raw JS, and cosine distance. Brain drift ladder [12]: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r>
        <w:rPr>
          <w:rFonts w:ascii="Arial" w:hAnsi="Arial"/>
          <w:b/>
          <w:color w:val="000000"/>
          <w:sz w:val="22"/>
        </w:rPr>
        <w:t>5.11 Fixed gene-panel ablation</w:t>
      </w:r>
    </w:p>
    <w:p>
      <w:r>
        <w:rPr>
          <w:rFonts w:ascii="Arial" w:hAnsi="Arial"/>
          <w:b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9 and the results/fixed_panel_ablation_* files of the companion repository.</w:t>
      </w:r>
    </w:p>
    <w:p>
      <w:r>
        <w:rPr>
          <w:rFonts w:ascii="Arial" w:hAnsi="Arial"/>
          <w:b/>
          <w:color w:val="000000"/>
          <w:sz w:val="22"/>
        </w:rPr>
        <w:t>5.12 TCGA per-sample statistics and clinical severity analyses</w:t>
      </w:r>
    </w:p>
    <w:p>
      <w:r>
        <w:rPr>
          <w:rFonts w:ascii="Arial" w:hAnsi="Arial"/>
          <w:b w:val="0"/>
          <w:color w:val="000000"/>
          <w:sz w:val="22"/>
        </w:rPr>
        <w:t>Per-tumor statistics were derived from the linear-normalization pair table under the ex-CC default (34,828 pairs: the 478 pairs touching the 32 cell-line-derived aliquots dropped from the 35,306-pair table of 2,000 TT pairs per cancer type drawn by seeded subsampling (1,709 for LIHC after the exclusion),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95% CIs are the 2.5th and 97.5th percentiles of the resampled ratios.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adjusted LUAD contrasts were verified by whole-tumor label-permutation tests that re-fit the full OLS adjustment model at every permutation (B = 10,000, seed 42): the KRAS contrasts remain significant (P ≤ 0.001) and the EGFR–WT contrast does not (P ≥ 0.28), matching the parametric conclusions (notebooks/nc52_tcga_luad_adjmodel_permutation.py, results/nc52_tcga_luad_adjmodel_permutation.csv). The LIHC survival analysis used Cox proportional-hazards regression (R survival::coxph) on the ex-CC default cohort (n = 272 tumors with complete covariates, 79 events) with per-tumor ω standardized to unit SD (hazard ratios per SD), AJCC stage entered as a categorical factor, plus Edmondson grade (G1–G4, ordinal), age, and sex, with listwise deletion of missing covariates; k_f-only, k_n-only, and tumor–normal-ω exposures were run as sensitivity models, and proportional hazards were checked with cox.zph (M2 GLOBAL P = 0.023, reported alongside the estimates). Scripts: notebooks/nc52_tcga_excc_main.py (seed 42), notebooks/nc52_lihc_cox_excc.py, notebooks/nc49_tcga_purity.py, notebooks/nc49_tcga_luad_smoking.py; outputs: results/nc52_tcga_pancancer_excc.csv, results/nc52_tcga_excc_severity.csv, results/nc49_tcga_luad_mutation.csv, results/nc52_lihc_cox_excc.csv, results/nc49_tcga_purity.csv, results/nc49_tcga_admix_scores.csv, results/nc49_tcga_luad_smoking.csv.</w:t>
      </w:r>
    </w:p>
    <w:p>
      <w:r>
        <w:rPr>
          <w:rFonts w:ascii="Arial" w:hAnsi="Arial"/>
          <w:b w:val="0"/>
          <w:color w:val="000000"/>
          <w:sz w:val="22"/>
        </w:rPr>
        <w:t>In supplementary within-cancer-type stratification analyses, we computed intratumoral ω for samples within each clinical stratum using the hybrid scheme. BRCA PAM50 subtype calls [52,53]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[54] came from cBioPortal (372 patients with calls in the cached pull; 289 ex-CC tumors with pair coverage entered the analysis),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5).</w:t>
      </w:r>
    </w:p>
    <w:p>
      <w:r>
        <w:rPr>
          <w:rFonts w:ascii="Arial" w:hAnsi="Arial"/>
          <w:b/>
          <w:color w:val="000000"/>
          <w:sz w:val="22"/>
        </w:rPr>
        <w:t>5.13 Computational environment</w:t>
      </w:r>
    </w:p>
    <w:p>
      <w:r>
        <w:rPr>
          <w:rFonts w:ascii="Arial" w:hAnsi="Arial"/>
          <w:b w:val="0"/>
          <w:color w:val="000000"/>
          <w:sz w:val="22"/>
        </w:rPr>
        <w:t>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[45], scipy ≥ 1.10.0, numpy ≥ 1.23.0, pandas ≥ 1.5.0, matplotlib ≥ 3.6.0, seaborn [55] ≥ 0.12.0, and scikit-learn [56] ≥ 1.2.0; random seeds were fixed at 42 throughout, except scripts 77/78/79, which used seed 20260903, and the small-cluster studentized bootstrap-t analysis (notebooks/89_cluster_boot_v45.py), which used seed 20260905. Permutation results are stable with respect to seed choice: with B = 1,000 permutations the Monte Carlo standard error of the empirical P-value is approximately 0.016 at P = 0.5, so seed variation has negligible impact on statistical conclusions.</w:t>
      </w:r>
    </w:p>
    <w:p>
      <w:r>
        <w:rPr>
          <w:rFonts w:ascii="Arial" w:hAnsi="Arial"/>
          <w:b/>
          <w:color w:val="000000"/>
          <w:sz w:val="22"/>
        </w:rPr>
        <w:t>5.14 Statistical inference details</w:t>
      </w:r>
    </w:p>
    <w:p>
      <w:r>
        <w:rPr>
          <w:rFonts w:ascii="Arial" w:hAnsi="Arial"/>
          <w:b w:val="0"/>
          <w:color w:val="000000"/>
          <w:sz w:val="22"/>
        </w:rPr>
        <w:t>We report summary statistics as mean ± s.d. (range) or median [IQR] as noted. Resampling-based inference [57]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[44]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r>
        <w:rPr>
          <w:rFonts w:ascii="Arial" w:hAnsi="Arial"/>
          <w:b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studentized (bootstrap-t) region-clustered intervals pivot the statistic by an influence-function (multiplier) sandwich standard error of the multiplicity-weighted pair mean re-evaluated within each resample, with ratios studentized on the log scale via the delta method (B = 5,000, seed 20260905; Monte Carlo coverage 0.953/0.951 at 6–7 clusters; notebooks/89_cluster_boot_v45.py).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(two-stage bootstrap over the six populations, B = 5,000, seed 42: 95% CI [6.38, 9.82]; the 300-value intervals [7.37, 8.02]/[7.38, 8.02] treat nested splits as independent and are anti-conservative;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r>
        <w:rPr>
          <w:rFonts w:ascii="Arial" w:hAnsi="Arial"/>
          <w:b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2b)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stratified resample counts reported per analysis (B = 1,000 for the composition cluster bootstrap, 1,000 for TCGA ratio CIs, 2,000 for region-clustered brain intervals, 5,000 for the joint and studentized small-cluster analyses, and 10,000 for simple resampling of pair-level point estimates), with the Monte Carlo error of each interval reported alongside it in the Supplementary Information. All analyses use JS divergence with base-2 logarithm. Sample sizes (n) are reported for each comparison.</w:t>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 Table content: CKI_Supplementary_Tables_NC.xlsx (sheet Table 1).</w:t>
      </w:r>
    </w:p>
    <w:p>
      <w:r>
        <w:rPr>
          <w:rFonts w:ascii="Arial" w:hAnsi="Arial"/>
          <w:b w:val="0"/>
          <w:color w:val="000000"/>
          <w:sz w:val="22"/>
        </w:rPr>
      </w:r>
    </w:p>
    <w:p>
      <w:pPr>
        <w:pStyle w:val="Heading2"/>
      </w:pPr>
      <w:r>
        <w:t>Supplementary Table 9: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 Table content: CKI_Supplementary_Tables_NC.xlsx (sheet Table 4).</w:t>
      </w:r>
    </w:p>
    <w:p>
      <w:r>
        <w:rPr>
          <w:rFonts w:ascii="Arial" w:hAnsi="Arial"/>
          <w:b w:val="0"/>
          <w:color w:val="000000"/>
          <w:sz w:val="22"/>
        </w:rPr>
      </w:r>
    </w:p>
    <w:p>
      <w:pPr>
        <w:pStyle w:val="Heading2"/>
      </w:pPr>
      <w:r>
        <w:t>Supplementary Table 10: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all SDs are sample SDs with ddof = 1) are provided in Supplementary Table 10.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5). Table content (per-cell-type summary): CKI_Supplementary_Tables_NC.xlsx (sheet Table 5).</w:t>
      </w:r>
    </w:p>
    <w:p>
      <w:r>
        <w:rPr>
          <w:rFonts w:ascii="Arial" w:hAnsi="Arial"/>
          <w:b w:val="0"/>
          <w:color w:val="000000"/>
          <w:sz w:val="22"/>
        </w:rPr>
      </w:r>
    </w:p>
    <w:p>
      <w:pPr>
        <w:pStyle w:val="Heading2"/>
      </w:pPr>
      <w:r>
        <w:t>Supplementary Table 12: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5 and 6 share the same underlying data file (results/brain_bs_null_observed_pairs.csv): Supplementary Table 10 reports all 31,764 pairs with per-cell-type summary statistics, whereas Supplementary Table 12 retains the 6,591 threshold-passing rows with their tier, residual, and ω annotations. Table content: CKI_Supplementary_Tables_NC.xlsx (sheet Table 6).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notebooks/08d_brain_blockshuffle_null.py with notebooks/08e_brain_blockshuffle_results.py (brain regional CKI analysis and region-associated candidate detection under the block-shuffle null; supersedes the pre-fix 07c_brain_siletti_v3.py outputs archived in results/superseded/), notebooks/13_phase35_method_comparison.py (cross-organ method comparison), and notebooks/30_genome_biology_figures.py with notebooks/_fig1_clean.py to _fig6_clean.py (figure generation).</w:t>
      </w:r>
    </w:p>
    <w:p>
      <w:pPr>
        <w:pStyle w:val="Heading2"/>
      </w:pPr>
      <w:r>
        <w:t>Supplementary Figures</w:t>
      </w:r>
    </w:p>
    <w:p>
      <w:r>
        <w:rPr>
          <w:rFonts w:ascii="Arial" w:hAnsi="Arial"/>
          <w:b w:val="0"/>
          <w:color w:val="000000"/>
          <w:sz w:val="22"/>
        </w:rPr>
        <w:t>Legends for Supplementary Figs. 1-9. Figure files are provided separately (results/ figures listed in the Reproducibility Guide).</w:t>
      </w:r>
    </w:p>
    <w:p>
      <w:r>
        <w:rPr>
          <w:rFonts w:ascii="Arial" w:hAnsi="Arial"/>
          <w:b w:val="0"/>
          <w:color w:val="000000"/>
          <w:sz w:val="22"/>
        </w:rPr>
        <w:t>Supplementary Fig. 1. Parameter sweep, pathway analysis, JS divergence dimensionality invariance, and ω distribution characterization.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 (d) Mean JS divergence between random Dirichlet distribution pairs as a function of dimensionality (50–5,000 genes, n = 2,000 trials per dimension), showing that JS divergence is effectively constant across dimensions (ratio = 1.001 between d = 1,130 and d = 2,000). (e) Dimensionality ratio relative to the HK gene set (d = 1,130), confirming that k_n and k_f are dimensionally comparable. (f) 14.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r>
        <w:rPr>
          <w:rFonts w:ascii="Arial" w:hAnsi="Arial"/>
          <w:b w:val="0"/>
          <w:color w:val="000000"/>
          <w:sz w:val="22"/>
        </w:rPr>
        <w:t>Supplementary Fig. 2. Theory diagnostics for the scoped framework (Supplementary Note 20; notebooks/85_theory_diagnostics.py; results/theory_diagnostics.csv). (a) Second-order expansion error |JS − Q| / JS (log scale) for the HK panel (steel; k_n scale) and the pair-specific top-200 panel (purple; k_f scale) across 2,937 real pairs: brain cross-region observed (n = 1,500), brain within-region split-half nulls (n = 900), Tabula Sapiens cross-organ observed (n = 37) and split-half nulls (n = 500); boxes = IQR, whiskers = 1.5 × IQR, outliers suppressed. The expansion is quantitative at the k_n scale (median error 0.23% under nulls, 2.5–4.0% observed) and approximate at the k_f scale (10–18% observed). (b) Background-energy exchangeability under split-half nulls: distribution of the per-gene mean-energy ratio (top-200 versus HK panel), median 14 (brain) and 8.5 (Tabula Sapiens)—the order-statistic selection inflation α estimated by the split-half baseline (6.67–9.73). (c) Ground-truth estimand: mean ω − 1 (log scale) versus the injected functional shift δ at each background-drift level η (factorial grid, ε = 0, background and functional shifts injected independently so that C_bf = 0 by construction; Supplementary Note 1); ω − 1 rises monotonically with δ from the selection-inflated baseline offset and collapses toward 0 under strong HK-anchored drift. (d) Null ancillarity: cross-class coefficient of variation of the split-half null median for k_f, k_n and ω (10 brain classes; 38 mouse tissue–cell-type populations)—studentization by the HK denominator contracts the null dispersion up to eightfold (brain CV 1.21 → 0.148).</w:t>
      </w:r>
    </w:p>
    <w:p>
      <w:r>
        <w:rPr>
          <w:rFonts w:ascii="Arial" w:hAnsi="Arial"/>
          <w:b w:val="0"/>
          <w:color w:val="000000"/>
          <w:sz w:val="22"/>
        </w:rPr>
        <w:t>Supplementary Fig. 3. Calibrated ω under two baselines and TCGA per-cancer matrices with supplementary stratification vignettes.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 (c) Pairwise ω matrices for five cancer types (BRCA, KIRC, LIHC, LUAD, LUSC) showing tissue-level transcriptomic divergence structure within each cancer cohort. (d) Within-cancer-type stratification (exploratory): per-tumor ω by LIHC Edmondson grade and BRCA PAM50 subtype; both orderings are denominator-dominated and reverse or largely reverse under k_f alone, unlike the LUAD driver-mutation contrast (Results).</w:t>
      </w:r>
    </w:p>
    <w:p>
      <w:r>
        <w:rPr>
          <w:rFonts w:ascii="Arial" w:hAnsi="Arial"/>
          <w:b w:val="0"/>
          <w:color w:val="000000"/>
          <w:sz w:val="22"/>
        </w:rPr>
        <w:t>Supplementary Fig. 4. Human-brain sanity check on the microglia supercluster (Supplementary Note 7) and real perturbation demonstration (Kang et al. IFN-β-stimulated PBMCs). (a) UMAP embedding of the CELLxGENE Microglia supercluster (Human Brain Cell Atlas v1.0; 91,838 nuclei; precomputed embedding), coloured by cell type: microglial cell (88,494 nuclei) versus CNS macrophage (CNS-Mφ; 3,344). (b) CKI ω for the functional contrast (35 sample-matched microglia-versus-CNS-Mφ pairs) versus neutral half-splits (20 per cell type): ω = 21.83 ± 7.20 (functional) versus ω = 1.30 ± 0.36 (neutral); Mann-Whitney P = 5.5 × 10⁻¹⁴. (c) Per-metric exact rank AUC for the same contrast: the margin is carried by k_f (AUC = 1.00), whereas k_n is only partially elevated (AUC = 0.89); standard metrics also separate the classes (raw JS, cosine, marker Jaccard AUC = 1.00; Spearman 0.90), as expected for two genuinely distinct cell types. This analysis uses the global-HVG scheme, not the per-pair top-200 hybrid scheme, so absolute ω values sit on a different scale from the 7.70-calibrated hybrid baseline and are compared internally only. (d) Area under the ROC curve (AUC) for separating within-donor stim-versus-control pairs (perturbation) from cross-donor same-condition pairs (donor drift) per cell type, for ω (red), k_f alone (purple), and raw JS divergence (grey); bars start at the chance level of 0.5. Where IFN-β moves the housekeeping anchor hardest (CD14+ monocytes), the ω AUC falls to 0.55 while k_f retains 0.98 — the anchor-visibility boundary; and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r>
        <w:rPr>
          <w:rFonts w:ascii="Arial" w:hAnsi="Arial"/>
          <w:b w:val="0"/>
          <w:color w:val="000000"/>
          <w:sz w:val="22"/>
        </w:rPr>
        <w:t>Supplementary Fig. 5. Pseudo-region negative control for the brain block-shuffle null, cross-species comparison details, and cross-organ conservation raw data.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 (c) Cross-species ω comparison: scatter plot of human vs. mouse per-cell-type mean ω for the 15 shared cell types (Spearman r = −0.17, P = 0.55; no significant correlation). (d) 6. Cross-organ conservation raw data. Blue = well-sampled (n ≥ 5 pairs); gray = sparsely sampled (n &lt; 5 pairs). upper sub-panel shows mean ± SD; lower sub-panel shows raw pair-level distribution.</w:t>
      </w:r>
    </w:p>
    <w:p>
      <w:r>
        <w:rPr>
          <w:rFonts w:ascii="Arial" w:hAnsi="Arial"/>
          <w:b w:val="0"/>
          <w:color w:val="000000"/>
          <w:sz w:val="22"/>
        </w:rPr>
        <w:t>Supplementary Fig. 6. Brain regional analysis details and pair-specific k_n variability (brain). (a) Mean regional divergence (ω, with SD) per cell type, ranked ascending; purple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 (d) Distribution of per-pair k_n values by cell type (bars: mean ± SD); bar colour reflects the cross-pair coefficient of variation (CV) of k_n, from light (low CV, stable k_n) to dark (high CV, variable k_n); and per-pair ω (pair-specific k_n) versus ω estimated with the global mean k_n; red line is y = x. Spearman ρ = 0.142 (P = 7.07×10⁻¹⁴³, n = 31,764).</w:t>
      </w:r>
    </w:p>
    <w:p>
      <w:r>
        <w:rPr>
          <w:rFonts w:ascii="Arial" w:hAnsi="Arial"/>
          <w:b w:val="0"/>
          <w:color w:val="000000"/>
          <w:sz w:val="22"/>
        </w:rPr>
        <w:t>Supplementary Fig. 7. Pair-level distributions and the subcluster tier for the neuronal superclass analysis, and program-level diffuseness with the sub-threshold SEA-AD disease-anchor check (Supplementary Notes 18, 19; main Fig. 5e, f). (a) Pair-level ω ECDFs (log scale) for neuronal superclasses (purple; n = 2,995), non-neuronal classes excluding astrocytes (grey; n = 25,986), and astrocytes (red; n = 5,778); medians 62.2 / 24.5 / 73.4, with astrocytes the only non-neuronal class in the neuronal range. (b) Subcluster-tier pair ω per supercluster (grey boxes, log scale, 48,450 pairs total; boxes = IQR, whiskers = 1.5 × IQR, outliers suppressed) with the superclass-tier median overlaid (purple bars): subcluster medians 18.5–29.4 are pulled down by region-restricted subclusters with few pairs, so superclass-level values are the appropriate tier for cross-class comparison (Supplementary Note 18). (c) SEA-AD donor-level test (10 pre-registered gene-set × cell-class tests): bars give observed ω between ADNC-high and reference donors; the dark dash marks the null mean and the line its 95% range (2,000-draw size-matched null with pre-registered genes excluded from the sampling pool). Red = pan-reactive astrocyte set (P = 0.0145) and DAM core set (P = 0.041) in astrocytes; orange = negative controls (homeostatic-microglia set in astrocytes, ω 0.74, P = 0.996; A2 set in microglia, ω 0.04, P = 1.0); grey = remaining tests. Benjamini–Hochberg across the 10 tests: minimum q = 0.145. (d) Hallmark-program diffuseness: histogram of the 400 empirical P-values (10 non-neuronal classes × 40 programs; size-bucketed random-gene-set null, B = 2,000), with Peroxisome and Bile Acid Metabolism programs in purple. All 11 tests with P ≤ 0.01 (4.0 expected) are peroxisomal–lipid programs; none of the 400 survives Benjamini–Hochberg correction (minimum q = 0.233).</w:t>
      </w:r>
    </w:p>
    <w:p>
      <w:r>
        <w:rPr>
          <w:rFonts w:ascii="Arial" w:hAnsi="Arial"/>
          <w:b w:val="0"/>
          <w:color w:val="000000"/>
          <w:sz w:val="22"/>
        </w:rPr>
        <w:t>Supplementary Fig. 8. Developmental signature detection and block-shuffle permutation null for the residual model.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 (d) 10. Block-shuffle permutation null for the residual model. Distribution of multiplicative residuals under block-shuffle permutation of library-to-region assignments (B = 1,000), compared against observed residuals for Strong candidates.</w:t>
      </w:r>
    </w:p>
    <w:p>
      <w:r>
        <w:rPr>
          <w:rFonts w:ascii="Arial" w:hAnsi="Arial"/>
          <w:b w:val="0"/>
          <w:color w:val="000000"/>
          <w:sz w:val="22"/>
        </w:rPr>
        <w:t>Supplementary Fig. 9. Lineage-distance validation of k_f across two independent atlases (Supplementary Note 17). (a) Tabula Sapiens same-organ cross-cell-type pairs (n = 1,054, 6 organs): median k_f by Cell Ontology lineage-distance bin rises monotonically from 0.127 (distance 1–2) to 0.271 (distance ≥9); the grey bar anchors same-cell-type cross-organ pairs at distance 0 (median 0.106, n = 69). Spearman ρ = 0.227, P = 9.5 × 10⁻¹⁴; organ-stratified permutation (10,000 draws) P = 1.0 × 10⁻⁴. Pair counts per bin are annotated inside the bars. (b) Siletti et al. brain atlas same-region cross-cell-type pairs (n = 1,537; k_f on a fixed 5,000-gene non-HK panel): median k_f_fixed by lineage-distance bin; the increase is significant (ρ = 0.181, P = 9.9 × 10⁻¹³; region-stratified permutation P = 1.0 × 10⁻⁴) but not monotone across coarse bins. (c) Oligodendrocyte lineage chain across 52 shared brain regions: per-region k_f_fixed for OPC–COP (distance 2), COP–oligodendrocyte (distance 5), and OPC–oligodendrocyte (distance 5); medians 0.063 / 0.075 / 0.130 (2.06-fold), with the ordering holding in 52 of 52 regions (paired Wilcoxon P = 1.8 × 10⁻¹⁰). Grey lines connect matched regions; the purple line connects medians. (d) Spearman correlation of each metric with Cell Ontology lineage distance in Tabula Sapiens (orange; same-organ cross-cell-type pairs) and the Siletti brain atlas (purple; same-region cross-cell-type pairs). k_f correlates positively in both atlases (ρ = 0.227 and 0.181; both permutation P = 1.0 × 10⁻⁴), whereas k_n is null in Tabula Sapiens (ρ = 0.052, P = 0.092) but reverses to strongly positive in the brain (ρ = 0.300, P = 2.1 × 10⁻³³), so ω inherits a negative brain gradient (ρ = −0.134) with no signal after partialling out k_n (ρ = −0.009, P = 0.74). ***, P &lt; 0.001; NS, not significant. (e) Germ-layer test in the brain atlas: microglia (mesoderm) are more divergent from macroglia (median k_f_fixed 0.163, n = 420 region pairs) than macroglia are from each other (0.123, n = 652); Mann–Whitney P = 4.5 × 10⁻¹⁴⁶. (f) Distance-0 anchors in the brain atlas: median k_f_fixed for same-cell-type cross-region pairs per cell type (n = 31,764 pairs; range 0.006–0.033), all far below the closest cross-lineage pair (OPC–COP, red dashed line at 0.063).</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