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replicates—30 cross-lane pairs from Kang IFN-β—ω raised no false reports; under stronger brain library-level drift (2,161 pairs), it had the lowest false-report rate among continuous metrics (28.6% versus 45.2% for raw JS), though specificity decays with group size. In 3,567 TCGA samples across five cancer types, ω revealed a consistent pan-cancer reversal—tumors less divergent than adjacent normal tissue (ratio 1.10–2.46, CI excluding 1 in four of five cancers)—driven by a 1.3–3.3-fold elevated housekeeping baseline, not reduced functional divergence; in lung adenocarcinoma, KRAS-mutant tumors showed elevated tissue-level divergence whose functional (k_f) and baseline (k_n) components both survived purity and smoking adjustment, whereas the apparent EGFR-mutant association was explained by stromal/immune admixture. Brain analysis revealed a 1.74-fold size-balanced regional gradient ([1.64, 1.84]; 6.10-fold uncorrected; 3.68-fold span-matched intra-cerebellar).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change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3,567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regional differentiation gradient (1.74-fold size-balanced; 6.10-fold uncorrected full-data estimate)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 A leave-one-population-out sensitivity shows the constant depends on one outlier population: the hepatocyte control sits at 12.44 ± 5.98 while the other five populations lie at 5.77–7.36, and removing hepatocyte lowers the baseline to 6.75 (−12.3%; leave-one-out range 6.75–8.08; median-of-population-means 7.12). All ratio statements (including the astrocyte-over-Bergmann-glia gradient) are baseline-invariant, but absolute ω_cal magnitudes shift by up to 14% under the outlier-free baseline (Bergmann glia ω_cal 1.76 → 2.01; astrocytes 10.75 → 12.26; Section 3.10 of the Supplementary Information).</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2d).</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10⁻¹⁴⁵),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line="276" w:lineRule="auto" w:after="80"/>
        <w:ind w:firstLine="0"/>
      </w:pPr>
      <w:r>
        <w:rPr>
          <w:rFonts w:ascii="Arial" w:hAnsi="Arial"/>
          <w:b w:val="0"/>
          <w:i w:val="0"/>
          <w:color w:val="000000"/>
          <w:sz w:val="22"/>
        </w:rPr>
        <w:t>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(Fig. 2e;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(Fig. 2e),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3d).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3b,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3;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3,567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4; Supplementary Fig. 4). A consistent pan-cancer reversal emerged: in all five cancer types, NN pairs were more divergent than TT pairs—the ratio of mean NN to mean TT ω ranked LUAD 2.46 (95% CI 2.13–2.86; sample-level cluster bootstrap, B = 1,000), KIRC 1.88 (1.63–2.16), LUSC 1.71 (1.38–2.09), BRCA 1.57 (1.34–1.85), and LIHC 1.10 (0.93–1.29)—with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1.3–3.3-fold (mean ratios; 95% CIs excluding 1 in all five cancers, e.g. KIRC 3.29 [2.54, 4.35], LIHC 1.35 [1.02, 1.88]; corresponding median ratios 2.18–3.70 in the Supplementary Information)—whereas TT k_f was equal to or higher than NN k_f (e.g. LUAD 0.282 versus 0.226). The reversal therefore reflects a more stable housekeeping baseline among adjacent non-tumor specimens, not smaller functional-gene divergence of tumor cells (Fig. 4a).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311—wild-type for EGFR and KRAS, since tumors carrying other drivers were not separately excluded; double mutants, n = 2, excluded) using per-tumor ω (the mean over all TT pairs in which a tumor participates, including pairs with tumors of other driver classes, so the group means are not formed from disjoint pair sets; Fig. 4b).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Because per-tumor ω averages overlapping (non-disjoint) pair sets, we re-ran the group tests as whole-tumor label-permutation tests, which are insensitive to this dyadic dependence: KW P = 0.0001 (B = 10,000), KRAS–WT P = 0.0001, KRAS–EGFR P = 0.003, EGFR–WT P = 0.21 (Section 3.13 of the Supplementary Information; notebooks/93_luad_group_permutation_v49.py). The k_f/k_n decomposition separated the two drivers’ associations mechanistically (Fig. 4c,d): the KRAS contrast carried a functional component (KRAS versus EGFR under k_f alone, Dunn–Holm P = 0.015; KRAS−WT k_f difference 0.011, 95% CI 0.002–0.019) accompanied by a lower k_n (WT &gt; KRAS, Dunn–Holm P = 4.2 × 10⁻⁴), both of which raise the ratio. The elevation was carried predominantly by the lower baseline (k_n contributed ~84% of the log-ω gap; the unadjusted k_f contrast was non-significant, Dunn P = 0.097).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on the log-ω scale the adjusted KRAS/WT ratio is 1.19, bootstrap 95% CI [1.12, 1.26], so the adjustment conclusion is scale-robust), whereas EGFR-mutant tumors no longer differed from wild-type in any metric (all P &gt; 0.4)—the apparent EGFR elevation is explained in the adjusted model by stromal/immune admixture rather than by a baseline shift. KRAS-mutant tumors were strongly enriched for ever-smokers (94% versus 63% in EGFR-mutant and 86% in wild-type tumors, χ² = 30.3, P = 2.7 × 10⁻⁷), yet adjusting for smoking status—alone, jointly with admixture, or jointly with age and sex—left the KRAS–wild-type differences essentially unchanged (Δω +13.9, P = 5.9 × 10⁻⁴ with smoking alone; +13.6, P = 3.3 × 10⁻⁴ with smoking and admixture; +13.3, P = 1.4 × 10⁻³ with smoking, age, and sex;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KRAS-mutant LUAD also differs from wild-type in TP53 co-mutation rate and histological subtype (invasive mucinous adenocarcinoma is KRAS-enriched); neither was adjusted for, so the KRAS–wild-type contrast carries residual confounding beyond purity and smoking.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 xml:space="preserve">Four controls bound the interpretation of the pan-cancer reversal. First, a four-panel marker composition check (immune, myeloid, stromal, epithelial) with sample-level cluster bootstrap found the pooled tumor-pair k_n coefficient essentially unchanged after composition adjustment (−1.3% pooled; cluster-bootstrap median −1.3%, 95% CI −4.8% to +2.0%; per cancer type −16% to +33%),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−0.23 to −0.42), so admixture can only weaken, not create, the TT k_n elevation—and restricting tumor–tumor comparisons to the low-admixture (high-purity) half of tumors increased the NN/TT ratio in all five cancer types (LUAD 2.46 → 2.86, 95% CI 2.41–3.45; LIHC 1.10 → 1.17,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1.10 versus 1.31 under the softmax mapping; softmax-caliber values are archived as a sensitivity analysis in Section 1.7 of the Supplementary Information). Third, the k_f/k_n decomposition itself localizes the reversal in the denominator, which composition adjustment of k_n leaves intact; a fixed-panel ablation of the per-pair top-200 selection was run for the brain pipeline (Supplementary Note 7) but not for bulk TCGA, so the k_f panel choice remains a residual caveat for the bulk numerator, though not for the denominator-driven reversal. Two further checks bound the numerator’s meaning: enrichment of the LUAD KRAS tumor–tumor identity panels (7,260 pairs, top-200 genes per pair) against the 50 MSigDB Hallmark programs </w:t>
      </w:r>
      <w:r>
        <w:rPr>
          <w:rFonts w:ascii="Arial" w:hAnsi="Arial"/>
          <w:b w:val="0"/>
          <w:i w:val="0"/>
          <w:color w:val="000000"/>
          <w:sz w:val="22"/>
          <w:vertAlign w:val="superscript"/>
        </w:rPr>
        <w:t>15</w:t>
      </w:r>
      <w:r>
        <w:rPr>
          <w:rFonts w:ascii="Arial" w:hAnsi="Arial"/>
          <w:b w:val="0"/>
          <w:i w:val="0"/>
          <w:color w:val="000000"/>
          <w:sz w:val="22"/>
        </w:rPr>
        <w:t xml:space="preserve"> found no program surviving multiple-testing correction (all q ≥ 0.24), consistent with a distributed identity-gene signal rather than a single-pathway artefact; and a pair-level composition regression of log k_f with the admixture covariates retained the TT ≥ NN k_f ordering in all five cancer types (e.g., LUAD adjusted log gap +0.21, P = 8 × 10⁻⁸⁰; Section 3.13 of the Supplementary Information).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1.07, 95% CI 0.88–1.31, P = 0.48, adjusted for stage, grade, age, and sex; Methods), so the reversal is a descriptive property of tissue-state divergence, not a prognostic marker. Fourth, excluding the 32 cell-line-derived (CC) LIHC samples from the pair table altogether leaves the LIHC null result unchanged (NN/TT 1.11, 95% CI [0.93, 1.30]; TT k_n/NN k_n 1.34, 95% CI [0.997, 1.880], which includes 1; cluster bootstrap B = 1,000), so the LIHC interval is not an artefact of their reassignment (Methods). The high-purity half analysis is likewise insensitive to the CC samples (LIHC 1.17 with all tumors versus 1.19 excluding CC, 95% CI [1.01, 1.44]), and a full barcode source-code audit of all 3,593 samples in the pair table (only source codes 01 and 11 present in every cancer type; the 32 CC tumours are the sole anomalous source set, all ILSBio LIHC) together with a CC-presence ledger for every LIHC downstream analysis is provided in the Reproducibility Guide (notebooks/94_cc_audit_sensitivity_v49.py).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5; Table 1; Supplementary Fig. 5). The cross-organ ω ranking reveals a broad spectrum of conservation across 17 cell types, of which only the extremes reproduce under k_f (Supplementary Note 9) (Table 1). Because single-pair means are statistically uninformative, we anchor interpretation on well-sampled cell types (n ≥ 5 pairs; upper block of Table 1):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16</w:t>
      </w:r>
      <w:r>
        <w:rPr>
          <w:rFonts w:ascii="Arial" w:hAnsi="Arial"/>
          <w:b w:val="0"/>
          <w:i w:val="0"/>
          <w:color w:val="000000"/>
          <w:sz w:val="22"/>
        </w:rPr>
        <w:t>, although both are represented by only n = 3 pairs and this end of the ranking is suggestive only. Sparsely sampled types (n = 1–3 pairs, lower block of Table 1)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 and because the k_n anchor is not calibrated across cell types (Discussion), cross-type gaps in mean ω should be read as descriptive rather than calibrated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Class-mean ω spanned a 1.74-fold size-balanced regional gradient across cell classes (equal-n control; uncorrected full-data estimate 6.10-fold; all class-level SDs in this paragraph computed with ddof = 1). Bergmann glia and vascular cells showed the lowest mean ω (both 13.56, a near-tie whose order flips with the filter threshold—see the threshold sensitivity below;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The size-balanced control equalizes nucleus counts but not anatomical span—Bergmann glia pairs are all intra-cerebellar whereas astrocyte pairs span 108 regions—so the 1.74-fold value is size-balanced but not span-balanced; restricting astrocytes to their 21 intra-cerebellar region pairs (the identical region pairs that define Bergmann glia) yields a span-matched gradient of 3.68 (ratio of class means; paired per-region-pair median 4.30, bootstrap 95% CI [3.40, 4.95]; notebooks/95_brain_region_matched_v49.py), so the gradient persists, at reduced magnitude, after both controls. Under class-specific split-half baselines the gradient is 5.99 (95% CI [4.43, 7.69], studentized bootstrap-t region-clustered bootstrap, superseding the under-covering percentile interval [4.12, 9.18]; Supplementary Note 2; see Discussion). Region-clustered bootstrap 95% CIs for the class-level means (percentile intervals, B = 2,000; Methods): astrocytes [75.66, 89.53], oligodendrocyte precursors [37.02, 44.21], oligodendrocytes [34.31, 39.88], microglia [21.80, 26.87], Bergmann glia [5.76, 28.59] (studentized bootstrap-t, B = 5,000;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Pearson r = −0.850, P = 0.0018)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Decomposing the equal-n residual into its components shows it is carried predominantly by the functional term: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and the size-balanced residual is a k_f effect (notebooks/96_brain_downsample_decomp_v49.py). Fourth, the gradient is robust to the 20-nuclei group-size threshold in direction but not magnitude: thresholds of 10, 20 (reported), 50, and 100 nuclei retain 10, 10, 10, and 8 classes, with endpoint gradients of 6.60, 6.10, and 4.12 at thresholds 10, 20, and 50 (at 100 nuclei the eight retained classes exclude Bergmann glia, so the endpoint gradient is undefined); large classes change ≤ 2% in mean ω, with the single exception of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17</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18</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19</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20–22</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23,24</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 across the full 31,764-pair pool—the 39 observed lie 3.8-fold below the null expectation (P(null count ≥ 39) = 1.0), and no candidate survives FDR correction (minimum q = 0.520). The catalogue below is therefore a prioritized hypothesis list, not discoveries, and mechanism assignment is literature-guided; the catalogue also inherits the atlas’s donor structure (four donors; 94.5% of region pairs share at least one), leaving pair-level nominations subject to donor confounding;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ependymal cells (2), and the oligodendrocyte precursor lineage (one committed OPC, one OPC) accounting for the remainder (39 in total);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19</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25</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26,27</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28</w:t>
      </w:r>
      <w:r>
        <w:rPr>
          <w:rFonts w:ascii="Arial" w:hAnsi="Arial"/>
          <w:b w:val="0"/>
          <w:i w:val="0"/>
          <w:color w:val="000000"/>
          <w:sz w:val="22"/>
        </w:rPr>
        <w:t xml:space="preserve">; cerebellar molecular topography </w:t>
      </w:r>
      <w:r>
        <w:rPr>
          <w:rFonts w:ascii="Arial" w:hAnsi="Arial"/>
          <w:b w:val="0"/>
          <w:i w:val="0"/>
          <w:color w:val="000000"/>
          <w:sz w:val="22"/>
          <w:vertAlign w:val="superscript"/>
        </w:rPr>
        <w:t>26</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29</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13,30</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 The ratio earns its increment over k_f under controlled ground truth (AUC 0.80 versus 0.72 for k_f in the marrow background; 0.91 versus 0.86 in the skin replication) and in drift rejection, where the anchor cancels shared sampling noise;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The inversion is structural rather than incidental: in Ka/Ks the denominator (Ks) is a putatively neutral standard, whereas the HK anchor is itself the most strongly constrained expression class. In molecular-evolution terms, the Ks class here is itself under strong constraint—as if synonymous sites were selected along one lineage, where dN/dS loses its interpretation—and the TCGA pan-cancer reversal, in which the denominator shifts 1.3–3.3-fold with disease state, is the empirical demonstration of that failure mode; the per-class baselines (a 1.65-fold spread) are the analogue of dS varying across lineages, handled in molecular evolution by branch models and here by per-class calibration. The correspondence runs: synonymous-site divergence (Ks) to HK-gene divergence (k_n), nonsynonymous divergence (Ka) to functional-gene divergence (k_f), a species pair to the two cell populations being compared, and—completing the McDonald–Kreitman-style contrast </w:t>
      </w:r>
      <w:r>
        <w:rPr>
          <w:rFonts w:ascii="Arial" w:hAnsi="Arial"/>
          <w:b w:val="0"/>
          <w:i w:val="0"/>
          <w:color w:val="000000"/>
          <w:sz w:val="22"/>
          <w:vertAlign w:val="superscript"/>
        </w:rPr>
        <w:t>34</w:t>
      </w:r>
      <w:r>
        <w:rPr>
          <w:rFonts w:ascii="Arial" w:hAnsi="Arial"/>
          <w:b w:val="0"/>
          <w:i w:val="0"/>
          <w:color w:val="000000"/>
          <w:sz w:val="22"/>
        </w:rPr>
        <w:t>—the split-half calibration baseline (within-population ω ≈ 7.70) to the polymorphism class, so that ω_cal = ω/7.70 parallels the reciprocal of the neutrality index (the α-direction of the McDonald–Kreitman contrast): between-population divergence in the numerator, within-population baseline in the denominator. One asymmetry within this fourth term deserves note: the split-half denominator measures within-population sampling and technical variability rather than standing between-individual variation (the closer analogue of the polymorphism class, approached by the donor-level comparisons in this work), so the calibration denominator is a lower bound on the polymorphism class and ω_cal is correspondingly biased upward—the same direction as the classic neutrality-index bias when mildly deleterious polymorphisms are undercounted. This fourth term inherits every caveat of the neutrality index (its ratio is likewise confounded when the denominator class is constrained), and the reference class here is constrained rather than neutral. ω should accordingly be read as functional divergence in excess of a constrained baseline, never as evidence of positive selection.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36</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37</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Two variants were run: binary one-vs-rest tasks (comparable across classes despite region-set sizes of 6–107) and a multiclass macro-OvR run; the binary variant was designated the confound-controlled comparison after observing that the multiclass AUC correlates with the eligible-region count, and both are reported in parallel rather than as primary versus secondary. Under the binary variant,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at n = 10 the pattern is consistent with, but does not establish, localization of the shared signal to the k_f numerator rather than k_n. CKI is therefore not redundant with perturbation-prioritization tools, with complementarity supported by the decomposition rather than by the ranking correlation alone. The multiclass macro-OvR variant gave a weaker, confounded association (versus ω ρ = 0.127, P = 0.726; AUC correlated with eligible-region count at ρ = −0.744, P = 0.014). The pure-Python port (pyaugur 0.1.0) reports rank identity with the R reference implementation, but that equivalence is the port author’s validation and was not independently re-verified on a public benchmark here.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1.10–2.46,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1.31-fold higher for the three-panel composite and 1.22-fold with the myeloid panel included; P = 4 × 10⁻¹³⁷ and 1 × 10⁻⁶⁶), and within tumor-tumor pairs k_n correlates with the overall four-panel composition difference (Spearman ρ = 0.364 pooled, P &lt; 10⁻³⁰⁰; 0.20–0.51 per cancer type, largest per-cancer P = 7.7 × 10⁻¹⁹); however, in regressions of log k_n on pair type with the four composition deltas as covariates—including a myeloid panel (CD68, CD163, LST1, FCGR3A, C1QA)—and sample-level cluster bootstrap confidence intervals (B = 1,000), the tumor-pair coefficient attenuates by −1.3% pooled (cluster-bootstrap median −1.3%, 95% CI [−4.8%, +2.0%]), with marked per-cancer heterogeneity (−16% to +33%; linear-normalization caliber, the authoritative caliber throughout; the superseded softmax-caliber estimates are archived in Section 1.7 and Note 8 of the Supplementary Information).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38</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regional ω gradient across 10 cell classes (size-balanced 1.74-fold; uncorrected full-data 6.10-fold,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25</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39</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40,41</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25</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is designed to detect state changes within a given cell type, not to discriminate cell-type identity. Because the housekeeping anchor is cell-type-specific—housekeeping gene sets may differ across cell types—the k_n baseline is only directly comparable within the same cell type, so limited cross-type discrimination of ω is expected by design and delineates, rather than limits, the index’s scope. The intended domain of CKI is thus the comparison of biologically matched populations—the same cell type across organs, brain regions, or perturbation states—as throughout the analyses reported here. Within that domain, the ratio’s primary demonstrated value is specificity-first screening (rejection of neutral drift at controlled false-positive rates), while real-data ordering claims are better carried by the k_f/k_n decomposition itself—the decomposition, not ω alone, localized the TCGA reversal and separated KRAS from EGFR—so we read ω as a screening statistic whose ordering use is secondary to its decomposition; the honest default for ordering claims is k_f plus a design-matched null (Discussion).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where tested (HVG count, module size in simulation, tier thresholds), but the per-pair top-200 DE gene count N for k_f was not itself swept on real data, and because the selection floor (median baseline k_f = 0.025) bounds the detection power of the ω test, N should be read as a working default whose sensitivity remains to be characterized;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ω below the calibration baseline is the counterpart of purifying selection in the analogy and is structurally untestable by the upper-tail default—Bergmann glia (ω_cal ≈ 1.4–1.8) is the leading suspected instance—and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38</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A same-data quantification on the mouse pilot’s 15 comparisons (recomputing ω under both orders on identical cells) confirms the warning: the rank ordering is largely preserved (Spearman ρ = 0.78), but absolute values shift (median fold 0.96, up to 9.8-fold per comparison), and the split-control baseline itself moves from 6.46 to 10.94 (results/nc49_agg_order_sensitivity.csv).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45</w:t>
      </w:r>
      <w:r>
        <w:rPr>
          <w:rFonts w:ascii="Arial" w:hAnsi="Arial"/>
          <w:b w:val="0"/>
          <w:i w:val="0"/>
          <w:color w:val="000000"/>
          <w:sz w:val="22"/>
        </w:rPr>
        <w:t xml:space="preserve"> with flavor="seurat" </w:t>
      </w:r>
      <w:r>
        <w:rPr>
          <w:rFonts w:ascii="Arial" w:hAnsi="Arial"/>
          <w:b w:val="0"/>
          <w:i w:val="0"/>
          <w:color w:val="000000"/>
          <w:sz w:val="22"/>
          <w:vertAlign w:val="superscript"/>
        </w:rPr>
        <w:t>46,47</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accessed via CZ CELLxGENE Discover </w:t>
      </w:r>
      <w:r>
        <w:rPr>
          <w:rFonts w:ascii="Arial" w:hAnsi="Arial"/>
          <w:b w:val="0"/>
          <w:i w:val="0"/>
          <w:color w:val="000000"/>
          <w:sz w:val="22"/>
          <w:vertAlign w:val="superscript"/>
        </w:rPr>
        <w:t>48</w:t>
      </w:r>
      <w:r>
        <w:rPr>
          <w:rFonts w:ascii="Arial" w:hAnsi="Arial"/>
          <w:b w:val="0"/>
          <w:i w:val="0"/>
          <w:color w:val="000000"/>
          <w:sz w:val="22"/>
        </w:rPr>
        <w:t>.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493 tumor + 76 normal; LUSC: 534 tumor + 58 normal; LIHC: 398 tumor + 57 normal; KIRC: 750 tumor + 82 normal; BRCA: 1010 tumor + 109 normal (3,567 samples entering the pair-level analysis: of the 3,596 expression-matrix samples, 3 do not appear in the assembled pair table, and 26 further samples appear only in tumor–normal pairs and never enter the tumor–tumor or normal–normal comparisons; the pair table itself spans 3,593 unique barcodes, the denominator of the barcode audit in Methods).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52,53</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54</w:t>
      </w:r>
      <w:r>
        <w:rPr>
          <w:rFonts w:ascii="Arial" w:hAnsi="Arial"/>
          <w:b w:val="0"/>
          <w:i w:val="0"/>
          <w:color w:val="000000"/>
          <w:sz w:val="22"/>
        </w:rPr>
        <w:t>: from cBioPortal, 288 tumors.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all counts above reflect this corrected assignment.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xml:space="preserve">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52,53</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54</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55</w:t>
      </w:r>
      <w:r>
        <w:rPr>
          <w:rFonts w:ascii="Arial" w:hAnsi="Arial"/>
          <w:b w:val="0"/>
          <w:i w:val="0"/>
          <w:color w:val="000000"/>
          <w:sz w:val="22"/>
        </w:rPr>
        <w:t xml:space="preserve"> ≥ 0.12.0, and scikit-learn </w:t>
      </w:r>
      <w:r>
        <w:rPr>
          <w:rFonts w:ascii="Arial" w:hAnsi="Arial"/>
          <w:b w:val="0"/>
          <w:i w:val="0"/>
          <w:color w:val="000000"/>
          <w:sz w:val="22"/>
          <w:vertAlign w:val="superscript"/>
        </w:rPr>
        <w:t>56</w:t>
      </w:r>
      <w:r>
        <w:rPr>
          <w:rFonts w:ascii="Arial" w:hAnsi="Arial"/>
          <w:b w:val="0"/>
          <w:i w:val="0"/>
          <w:color w:val="000000"/>
          <w:sz w:val="22"/>
        </w:rPr>
        <w:t xml:space="preserve">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1,000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Supplementary Tables 1–4 are cited in the main text; Supplementary Tables 5–19 provide the per-analysis numerical tables cited within the Supplementary Information.</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1–19,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counterpart of the constrained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ranked first of six metrics (AUC = 0.80); independent replication on a skin keratinocyte background gave AUC = 0.91 (rank 1/6).</w:t>
      </w:r>
    </w:p>
    <w:p>
      <w:pPr>
        <w:spacing w:line="276" w:lineRule="auto" w:after="80"/>
        <w:ind w:firstLine="0"/>
      </w:pPr>
      <w:r>
        <w:rPr>
          <w:rFonts w:ascii="Arial" w:hAnsi="Arial"/>
          <w:b w:val="0"/>
          <w:i w:val="0"/>
          <w:color w:val="000000"/>
          <w:sz w:val="22"/>
        </w:rPr>
        <w:t>Figure 3.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