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Selective Transcriptomic Remodeling</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an empirical baseline for equivalent populations (mean ω = 6.67, all P &gt; 0.05), systematically inflated above the theoretical ω = 1 by highly variable gene pre-selection.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signatures spanning four biological mechanisms among 31,764 comparisons. CKI provides a principled framework for quantifying functional transcriptomic divergence relative to an internal baseline, available as an open-source Python package.</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(16), where donor-level and batch-level variation often dominates over cell-type identity. Methods such as Harmony (1), scVI (2), and SATURN (3) have been developed specifically to remove such nuisance variation (32). However,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(31).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above 1 (empirical calibration baseline 6.67). Second, we extended CKI to Tabula Sapiens human data (6) and found that CKI ω is negatively correlated with all four standard distance metrics, demonstrating that it captures an independent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(30). Pseudobulk vectors are computed by averaging expression across cells sharing the same cell-type annotation, requiring at least 10 cells per group. Housekeeping (HK) genes are loaded from the HRT Atlas v1.0 reference (4)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Dimensionality invariance of JS divergence</w:t>
      </w:r>
    </w:p>
    <w:p>
      <w:pPr>
        <w:spacing w:line="276" w:lineRule="auto" w:after="6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102 cell-type entries across 6 organs. HK genes: HRT Atlas v1.0 reference (1,130 genes; human column).</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log2(TPM + 1)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Benjamini-Hochberg FDR correction was applied across all 31,764 pairs.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Bootstrap permutation testing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This tests whether the observed ω is larger than expected under random group assignment. Benjamini-Hochberg FDR correction is applied within each dataset to control the false discovery rate (24).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6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Cohen's d as a descriptive measure of separation; given the non-normal ω distribution, d should be interpreted as a standardized mean difference rather than a parametric test statistic. The calibration experiment using split-half equivalent populations (n = 6 random splits of the same tissue) yielded a mean ω = 6.67,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Cohen's d.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loaded from the HRT Atlas v1.0 reference (4) (mouse ortholog column). Identity genes were the top-2,000 highly variable genes (HVGs; Seurat), excluding HK genes (Fig. 2).</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and none of the six comparisons reached statistical significance (all P &gt; 0.05, one-sided bootstrap test). This confirms that CKI recognizes biologically equivalent cell populations as having no functional divergence. We note that while these results are consistent with baseline behavior, formal equivalence testing (e.g., two one-sided tests, TOST) with a larger calibration sample would provide stronger statistical evidence for equivalence; the current sample size (n = 6) limits the power of such tests.</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6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(4) (human column) (Fig. 3).</w:t>
      </w:r>
    </w:p>
    <w:p>
      <w:pPr>
        <w:spacing w:line="276" w:lineRule="auto" w:after="6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data uses a fully pair-specific scheme (both k_n and k_f computed per pair), while the human hybrid scheme uses a global k_n with per-pair k_f, which alters the effective ω scale. Despite this, the biological hierarchy was preserved: same cell type across organs (mean ω = 15.83, n = 59 pairs) was lower than different cell types within the same organ (mean ω = 24.87,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A notable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However, because TCGA data are bulk RNA-seq, this apparent convergence has multiple non-exclusive explanations beyond true transcriptional convergence: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We therefore interpret these results as exploratory observations at bulk resolution, and note that single-cell or deconvolution-based analyses would be needed to disentangle genuine transcriptional convergence from cell-composition artifacts.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(36).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detects developmental origin signatures across brain regions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Permutation testing (B = 10,000, BH-FDR corrected) revealed that 16 of 30 Strong signals reached statistical significance (P &lt; 0.05): all 6 astrocyte and all 10 oligodendrocyte signals were highly significant (P = 9.99 × 10⁻⁵, q = 2.75 × 10⁻⁴), while none of the 10 microglia, 1 fibroblast, or 3 vascular signals reached significance (P ≥ 0.76). This indicates that the astrocyte and oligodendrocyte signals reflect robust biological patterns, whereas the microglia, fibroblast, and vascular signals may represent stochastic variation within the threshold criteria.</w:t>
      </w:r>
    </w:p>
    <w:p>
      <w:pPr>
        <w:pStyle w:val="Heading3"/>
        <w:spacing w:before="240" w:after="120"/>
      </w:pPr>
      <w:r>
        <w:rPr>
          <w:rFonts w:ascii="Arial" w:hAnsi="Arial"/>
          <w:color w:val="000000"/>
          <w:sz w:val="24"/>
          <w:b/>
        </w:rPr>
        <w:t>OPCs: key negative control validates method specificity</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critical orthogonal validation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all of which reached statistical significance in permutation testing (P = 9.99 × 10⁻⁵, q = 2.75 × 10⁻⁴).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95% CI [14.14, 14.58]) yet contributed 6 Strong signals, all of which reached statistical significance (P = 9.99 × 10⁻⁵, q = 2.75 × 10⁻⁴).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(19).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developmental colonization wave boundaries</w:t>
      </w:r>
    </w:p>
    <w:p>
      <w:pPr>
        <w:spacing w:line="276" w:lineRule="auto" w:after="60"/>
        <w:ind w:firstLine="0"/>
      </w:pPr>
      <w:r>
        <w:rPr>
          <w:rFonts w:ascii="Arial" w:hAnsi="Arial"/>
          <w:b w:val="0"/>
          <w:i w:val="0"/>
          <w:color w:val="000000"/>
          <w:sz w:val="22"/>
        </w:rPr>
        <w:t>Microglia contributed 10 Strong signals by the threshold criteria; however, permutation testing revealed that none reached statistical significance (all P ≥ 0.76, q = 1.0). This indicates that microglial regional ω values, while occasionally falling below the multiplicative model's expectation, do not depart from expectation more than would be expected from random label assignment. We therefore present the following biological interpretation as an exploratory hypothesis rather than a statistically supported finding. Shemer and Jung (37) comprehensively reviewed the molecular determinants of microglial developmental colonization, identifying three major invasion routes: the pial surface, the ventricular zone, and the vasculature. Colonization proceeds in a rostral-to-caudal wave, with forebrain regions colonized earlier than midbrain and hindbrain structures (20). Barry-Carroll et al. (40) demonstrated that microglial colonization occurs through clonal expansion of highly proliferative precursors, with spatial constraints limiting clone mixing between regions. If the observed microglia Strong signals reflect genuine biological structure, they would systematically trace this rostral-to-caudal colonization gradient: 7 of 10 signals involve cortex (A5-A7, A14, A23, A29-A30) paired with midbrain/pontine structures (IC, DTg, PnAN, PnEN, MoRF-MoEN). The inferior colliculus (IC) appears in 4 of 10 pairs and could represent a contact zone where forebrain-derived and hindbrain-derived colonization waves meet. However, given the lack of statistical significance, these patterns may reflect stochastic variation in the high-dimensional ω landscape rather than reproducible biological signals. Validation through independent datasets or lineage tracing experiments would be required to confirm these colonization boundary hypotheses.</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by threshold criteria, all involving ITG (inferior temporal gyrus, cortical) paired with brainstem structures (PB, PnRF, SN). However, none reached statistical significance in permutation testing (all P = 1.0, q = 1.0).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The low inter-regional ω values (1.75–1.80) indicate that the core vascular transcriptional program is highly conserved, with functional divergence detectable only as modest deviations from the global vascular ω baseline. However, the lack of statistical significance suggests that these signals may reflect the inherently low variance of vascular ω rather than specific developmental boundary effects.</w:t>
      </w:r>
    </w:p>
    <w:p>
      <w:pPr>
        <w:pStyle w:val="Heading3"/>
        <w:spacing w:before="240" w:after="120"/>
      </w:pPr>
      <w:r>
        <w:rPr>
          <w:rFonts w:ascii="Arial" w:hAnsi="Arial"/>
          <w:color w:val="000000"/>
          <w:sz w:val="24"/>
          <w:b/>
        </w:rPr>
        <w:t>Fibroblast: exploratory postnatal migration signal</w:t>
      </w:r>
    </w:p>
    <w:p>
      <w:pPr>
        <w:spacing w:line="276" w:lineRule="auto" w:after="60"/>
        <w:ind w:firstLine="0"/>
      </w:pPr>
      <w:r>
        <w:rPr>
          <w:rFonts w:ascii="Arial" w:hAnsi="Arial"/>
          <w:b w:val="0"/>
          <w:i w:val="0"/>
          <w:color w:val="000000"/>
          <w:sz w:val="22"/>
        </w:rPr>
        <w:t>Perivascular fibroblasts contributed 1 Strong signal by threshold criteria (A40 vs. SN, residual = 0.299), but this signal did not reach statistical significance (P = 1.0, q = 1.0).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If the A40 (prefrontal cortex) vs. SN (substantia nigra) signal reflects genuine biology, it could represent fibroblasts that entered these anatomically distant regions along different branches of the cerebral vasculature from a shared meningeal origin. However, the lack of statistical significance, combined with the small fibroblast population (8,156 nuclei across 83 regions), means this signal should be considered exploratory. The detection of threshold-passing but non-significant signals from sparse populations highlights the importance of permutation-based validation for the multiplicative residual model.</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genes provide a built-in baseline reference, heuristically analogous to the use of synonymous sites in Ka/Ks analysis. This decomposition lets us ask not just "how different are these two populations?" but "how much of that difference is functionally informative versus baseline?" Importantly, CKI is a heuristic index, not a formal measure of Darwinian selection. Unlike Ka/Ks—where a shared mutation rate (μ) cancels mathematically in the ratio, leaving a pure selection signal—CKI lacks an analogous cancellation mechanism. Its ω = 1 does not carry population-genetic meaning of neutrality. The empirical calibration experiment (split-half equivalent populations, n = 6) yielded a mean ω = 6.67, demonstrating that k_f systematically exceeds k_n even for identical populations due to HVG gene selection. We use ω ≪ calibration and ω ≫ calibration as operational anchors for functional constraint and enhanced divergence, respectively, 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(21); CKI operates on continuous expression vectors without an evolutionary substitution model. Second, the baseline reference in Ka/Ks has a mechanistic basis in the genetic code (synonymous sites are neutral because they do not alter the protein), whereas HK genes are defined empirically by data-driven criteria (high detection rate, low coefficient of variation) and lack a comparable mechanistic argument for neutrality. HK genes may be subject to stabilizing selection on expression levels, and their expression variance could in principle reflect regulatory constraints rather than pure neutral drift. We partly address this through sensitivity analysis showing that CKI results are robust to alternative HK definitions (using the lowest 10% variable genes as a neutral set yielded ω correlations r &gt; 0.95), and by noting that HK genes are specifically selected for low variance across conditions, which is a practical (if not mechanistic) proxy for neutrality. Nevertheless, the absence of a formal neutral model means that ω values should be interpreted as relative measures of functional divergence, not as direct estimates of selection strength. Third, CKI currently lacks a formal phylogenetic framework analogous to Ornstein-Uhlenbeck models that dominate expression evolution analysis. Integrating CKI’s baseline-normalized decomposition with OU-based selection strength estimation is a promising direction for future theoretical development. Fourth, CKI ω is computed on different gene sets per comparison (pairwise DE genes for k_f), which limits cross-comparison absolute interpretability; users should compare ω ranks rather than absolute values across datasets. Despite these caveats, CKI’s heuristic framework provides a practical tool for identifying functionally informative transcriptomic divergence that standard metrics systematically miss.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detected 30 Strong candidate signals by threshold criteria; permutation testing (B = 10,000) confirmed that 16 of these reached statistical significance (FDR &lt; 0.05). The 16 significant signals were exclusively from astrocytes (6/6) and oligodendrocytes (10/10), both reflecting developmental origin signatures: oligodendrocyte dorsal/ventral origin differences (35) explain all 10 oligodendrocyte Strong signals as cortex vs. thalamus/brainstem boundaries, while compartmentalized astrogenesis (18) explains the astrocyte thalamic and cerebellar signals. In contrast, 10 microglia, 1 fibroblast, and 3 vascular threshold-passing signals did not reach statistical significance (all P ≥ 0.76), suggesting they may reflect stochastic variation rather than robust biological patterns. Importantly, OPCs—the most actively migrating cells in the adult CNS (13,17)—yielded 0 Strong signals among 5,671 comparisons, providing a powerful orthogonal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(Supplementary Fig. S2) showed that ω rankings are moderately conserved between mouse and human for shared cell types, though absolute ω values differ due to different computation schemes (per-pair for mouse, hybrid for human).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(4)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neutral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developmental time courses would provide stronger evidence for migration inference. Sixth, the brain regional analysis generated 31,764 cross-region comparisons. Benjamini-Hochberg FDR correction was applied to the per-cell-class bootstrap results.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Cohen’s d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q = 1.0).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negative control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(33).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MIT License) is publicly available at https://github.com/zhanglknt/CKI-cell-type-identification (tag v0.3.1). A permanent archival copy has been deposited at Zenodo (DOI: 10.5281/zenodo.15670808).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neutral baseline. (E) ω distribution with ω = 1 (neutral)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(neutral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neutral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6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negative control,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6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6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6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6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6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6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and Cohen's d (reported as descriptive due to ω non-normality). Bootstrap 95% confidence intervals use B = 10,000 resamples. All analyses use JS divergence with base-2 logarithm. Sample sizes (n) are reported for each comparison.</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