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August 01,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Baseline-Normalized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Baseline-Normalized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complementary components: k_n (baseline divergence rate, from housekeeping gene expression) and k_f (functional divergence rate, from identity gene expression). The ratio ω = k_f/k_n provides a robust, interpretable measure of selective transcriptomic remodeling. As a new computational method with rigorous validation across multiple datasets, CKI aligns well with Nucleic Acids Research’s scope in methods development and genomic analysis.</w:t>
      </w:r>
    </w:p>
    <w:p>
      <w:pPr>
        <w:spacing w:line="276" w:lineRule="auto" w:after="120" w:before="0"/>
      </w:pPr>
      <w:r>
        <w:t>We validated CKI ω across three dimensions: (1) an independent information dimension—CKI ω captures information that standard metrics miss, showing negative correlation with all four standard distance metrics (Spearman r = −0.57 to −0.38, all P &lt; 0.001), demonstrating that it measures something fundamentally different from Cosine similarity, JS divergence, and other existing approaches; (2) cross-dataset consistency—CKI ω rankings are reproducible across independent datasets and parameter settings, with calibration establishing an empirical baseline for equivalent populations; and (3) two biological applications—pan-cancer analysis revealing that tumors are more transcriptionally homogeneous than normal tissues (median NN/TT ratio 1.40–2.83), and brain regional analysis identifying 30 cell-type-specific developmental signatures among 31,764 cross-region comparisons through a multiplicative residual model.</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(LLMs) were used for writing assistance; all AI-generated text was reviewed and revised by the authors, who take full responsibility. The CKI Python package (v0.3.1, MIT License) and all analysis code are publicly available at https://github.com/zhanglknt/CKI-cell-type-identification (permanent archive: Zenodo DOI: 10.5281/zenodo.15670808). The CKI package is implemented in Python (≥3.9) and runs on Linux, macOS, and Windows. Dependencies include scanpy, scipy, numpy, and pandas (see repository for full requirements).</w:t>
      </w:r>
    </w:p>
    <w:p>
      <w:pPr>
        <w:spacing w:line="276" w:lineRule="auto" w:after="120" w:before="0"/>
      </w:pPr>
      <w:r>
        <w:t>We suggest the following potential reviewers with relevant expertise: (1) Prof. Fabian Theis, Helmholtz Munich (fabian.theis@helmholtz-munich.de); (2) Prof. Sarah Teichmann, Wellcome Sanger Institute (st1@sanger.ac.uk); (3) Prof. Joshua Welch, University of Michigan (jdwlch@umich.edu); (4) Prof. Itai Yanai, NYU Grossman School of Medicine (itai.yanai@nyulangone.org); (5) Prof. Zemin Zhang, Peking University (zeminzhang@pku.edu.cn); (6) Prof. Xiaowo Wang, Tsinghua University (xww@tsinghua.edu.cn). None of the suggested reviewers have recent collaborations or conflicts of interest with the authors.</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