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sz w:val="32"/>
        </w:rPr>
        <w:t>CKI: A Cell-state Kinetic Index for Quantifying Baseline-Normalized Transcriptomic Remodeling</w:t>
      </w:r>
    </w:p>
    <w:p>
      <w:pPr>
        <w:jc w:val="center"/>
      </w:pPr>
      <w:r>
        <w:rPr>
          <w:rFonts w:ascii="Arial" w:hAnsi="Arial"/>
          <w:color w:val="000000"/>
          <w:sz w:val="20"/>
        </w:rPr>
        <w:t>Running title: CKI: Baseline-Normalized Divergence Index</w:t>
      </w:r>
    </w:p>
    <w:p>
      <w:pPr>
        <w:jc w:val="center"/>
      </w:pPr>
      <w:r>
        <w:rPr>
          <w:rFonts w:ascii="Arial" w:hAnsi="Arial"/>
          <w:color w:val="000000"/>
          <w:sz w:val="24"/>
        </w:rPr>
        <w:t>Xianming Wu</w:t>
      </w:r>
      <w:r>
        <w:rPr>
          <w:rFonts w:ascii="Arial" w:hAnsi="Arial"/>
          <w:color w:val="000000"/>
          <w:sz w:val="18"/>
          <w:vertAlign w:val="superscript"/>
        </w:rPr>
        <w:t>1</w:t>
      </w:r>
      <w:r>
        <w:t xml:space="preserve">, </w:t>
      </w:r>
      <w:r>
        <w:rPr>
          <w:rFonts w:ascii="Arial" w:hAnsi="Arial"/>
          <w:color w:val="000000"/>
          <w:sz w:val="24"/>
        </w:rPr>
        <w:t>Li Zhang</w:t>
      </w:r>
      <w:r>
        <w:rPr>
          <w:rFonts w:ascii="Arial" w:hAnsi="Arial"/>
          <w:color w:val="000000"/>
          <w:sz w:val="18"/>
          <w:vertAlign w:val="superscript"/>
        </w:rPr>
        <w:t>1</w:t>
      </w:r>
      <w:r>
        <w:rPr>
          <w:rFonts w:ascii="Arial" w:hAnsi="Arial"/>
          <w:color w:val="000000"/>
          <w:sz w:val="18"/>
          <w:vertAlign w:val="superscript"/>
        </w:rPr>
        <w:t>2</w:t>
      </w:r>
      <w:r>
        <w:rPr>
          <w:rFonts w:ascii="Arial" w:hAnsi="Arial"/>
          <w:color w:val="000000"/>
          <w:sz w:val="18"/>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18"/>
        </w:rPr>
        <w:t>ORCID: 0000-0002-0698-0754</w:t>
      </w:r>
    </w:p>
    <w:p>
      <w:pPr>
        <w:jc w:val="center"/>
      </w:pPr>
      <w:r>
        <w:rPr>
          <w:rFonts w:ascii="Arial" w:hAnsi="Arial"/>
          <w:color w:val="000000"/>
          <w:sz w:val="20"/>
        </w:rPr>
        <w:t>Keywords: cell-state divergence, housekeeping genes, Jensen-Shannon decomposition, transcriptomic remodeling, single-cell genomics</w:t>
      </w:r>
    </w:p>
    <w:p>
      <w:pPr>
        <w:pStyle w:val="Heading1"/>
        <w:spacing w:before="240" w:after="120"/>
      </w:pPr>
      <w:r>
        <w:rPr>
          <w:rFonts w:ascii="Arial" w:hAnsi="Arial"/>
          <w:color w:val="000000"/>
          <w:sz w:val="32"/>
          <w:b/>
        </w:rPr>
        <w:t>Graphical Abstract</w:t>
      </w:r>
    </w:p>
    <w:p>
      <w:pPr>
        <w:spacing w:line="276" w:lineRule="auto" w:after="60"/>
        <w:ind w:firstLine="0"/>
      </w:pPr>
      <w:r>
        <w:rPr>
          <w:rFonts w:ascii="Arial" w:hAnsi="Arial"/>
          <w:b w:val="0"/>
          <w:i w:val="0"/>
          <w:color w:val="000000"/>
          <w:sz w:val="22"/>
        </w:rPr>
        <w:t>[A graphical abstract figure (landscape, 5:2 aspect ratio) will be provided separately.]</w:t>
      </w:r>
    </w:p>
    <w:p>
      <w:pPr>
        <w:pStyle w:val="Heading1"/>
        <w:spacing w:before="240" w:after="120"/>
      </w:pPr>
      <w:r>
        <w:rPr>
          <w:rFonts w:ascii="Arial" w:hAnsi="Arial"/>
          <w:color w:val="000000"/>
          <w:sz w:val="32"/>
          <w:b/>
        </w:rPr>
        <w:t>Abstract</w:t>
      </w:r>
    </w:p>
    <w:p>
      <w:pPr>
        <w:spacing w:line="276" w:lineRule="auto" w:after="60"/>
        <w:ind w:firstLine="0"/>
      </w:pPr>
      <w:r>
        <w:rPr>
          <w:rFonts w:ascii="Arial" w:hAnsi="Arial"/>
          <w:b w:val="0"/>
          <w:i w:val="0"/>
          <w:color w:val="000000"/>
          <w:sz w:val="22"/>
        </w:rPr>
        <w:t>Comparing cell populations is fundamental in single-cell genomics, yet standard distance metrics conflate baseline variation with functional adaptation. Heuristically inspired by the Ka/Ks ratio in molecular evolution, we present CKI (Cell-state Kinetic Index), which decomposes transcriptomic divergence into a baseline divergence rate (k_n, from housekeeping gene expression) and a functional divergence rate (k_f, from identity gene expression), with ω = k_f/k_n quantifying baseline-normalized functional divergence. We validated CKI across four datasets: the Tabula Muris mouse atlas, Tabula Sapiens human atlas, TCGA pan-cancer data, and a human brain single-nucleus atlas totaling millions of cells. Calibration confirmed an empirical baseline for equivalent populations (mean ω = 6.67, all P &gt; 0.05), systematically inflated above the theoretical ω = 1 by highly variable gene pre-selection. CKI ω was negatively correlated with all standard distance metrics (Spearman r = −0.38 to −0.57, all P &lt; 0.001), indicating it captures an independent information dimension. Cancer analysis revealed transcriptional convergence across genetically diverse tumors. Brain regional analysis identified 30 cell-type-specific developmental signatures spanning four biological mechanisms among 31,764 comparisons. CKI provides a principled framework for quantifying functional transcriptomic divergence relative to an internal baseline, available as an open-source Python package.</w:t>
      </w:r>
    </w:p>
    <w:p>
      <w:pPr>
        <w:pStyle w:val="Heading1"/>
        <w:spacing w:before="240" w:after="120"/>
      </w:pPr>
      <w:r>
        <w:rPr>
          <w:rFonts w:ascii="Arial" w:hAnsi="Arial"/>
          <w:color w:val="000000"/>
          <w:sz w:val="32"/>
          <w:b/>
        </w:rPr>
        <w:t>Introduction</w:t>
      </w:r>
    </w:p>
    <w:p>
      <w:pPr>
        <w:spacing w:line="276" w:lineRule="auto" w:after="60"/>
        <w:ind w:firstLine="0"/>
      </w:pPr>
      <w:r>
        <w:rPr>
          <w:rFonts w:ascii="Arial" w:hAnsi="Arial"/>
          <w:b w:val="0"/>
          <w:i w:val="0"/>
          <w:color w:val="000000"/>
          <w:sz w:val="22"/>
        </w:rP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pPr>
        <w:spacing w:line="276" w:lineRule="auto" w:after="60"/>
        <w:ind w:firstLine="0"/>
      </w:pPr>
      <w:r>
        <w:rPr>
          <w:rFonts w:ascii="Arial" w:hAnsi="Arial"/>
          <w:b w:val="0"/>
          <w:i w:val="0"/>
          <w:color w:val="000000"/>
          <w:sz w:val="22"/>
        </w:rP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(16), where donor-level and batch-level variation often dominates over cell-type identity. Methods such as Harmony (1), scVI (2), and SATURN (3) have been developed specifically to remove such nuisance variation (32). However, after correction, a key question remains: how much of the remaining difference between two populations represents functional adaptation, and how much is simply neutral drift?</w:t>
      </w:r>
    </w:p>
    <w:p>
      <w:pPr>
        <w:spacing w:line="276" w:lineRule="auto" w:after="60"/>
        <w:ind w:firstLine="0"/>
      </w:pPr>
      <w:r>
        <w:rPr>
          <w:rFonts w:ascii="Arial" w:hAnsi="Arial"/>
          <w:b w:val="0"/>
          <w:i w:val="0"/>
          <w:color w:val="000000"/>
          <w:sz w:val="22"/>
        </w:rPr>
        <w:t>This question mirrors a problem addressed in molecular evolution. When comparing two DNA sequences, the Ka/Ks ratio (also called dN/dS) distinguishes nonsynonymous changes (Ka, which alter the protein) from synonymous changes (Ks, which are largely silent) (31). Ka/Ks uses synonymous sites as an internal baseline: the same mutational process produces both types of change, allowing the ratio to reveal selection. While CKI does not share Ka/Ks’s formal mathematical properties (notably the shared mutation rate that cancels in the ratio; see Discussion), it adopts an analogous heuristic logic for transcriptomic comparisons.</w:t>
      </w:r>
    </w:p>
    <w:p>
      <w:pPr>
        <w:spacing w:line="276" w:lineRule="auto" w:after="60"/>
        <w:ind w:firstLine="0"/>
      </w:pPr>
      <w:r>
        <w:rPr>
          <w:rFonts w:ascii="Arial" w:hAnsi="Arial"/>
          <w:b w:val="0"/>
          <w:i w:val="0"/>
          <w:color w:val="000000"/>
          <w:sz w:val="22"/>
        </w:rPr>
        <w:t>We applied this heuristic logic to transcriptomic comparisons. CKI defines two rates: a baseline divergence rate k_n, estimated from housekeeping (HK) gene expression; and a functional divergence rate k_f, estimated from cell-type identity genes. The ratio ω = k_f/k_n quantifies baseline-normalized functional divergence: ω near 1 means the observed differences are consistent with baseline expectation; ω much greater than 1 means functional divergence exceeds baseline variation; ω much less than 1 means strong functional constraint. Importantly, CKI ω is a heuristic index, not a formal measure of Darwinian selection; we use ω &lt; 1, ω ≈ 1, and ω &gt; 1 as convenient operational thresholds rather than claims about selection regimes (see Discussion).</w:t>
      </w:r>
    </w:p>
    <w:p>
      <w:pPr>
        <w:spacing w:line="276" w:lineRule="auto" w:after="60"/>
        <w:ind w:firstLine="0"/>
      </w:pPr>
      <w:r>
        <w:rPr>
          <w:rFonts w:ascii="Arial" w:hAnsi="Arial"/>
          <w:b w:val="0"/>
          <w:i w:val="0"/>
          <w:color w:val="000000"/>
          <w:sz w:val="22"/>
        </w:rPr>
        <w:t>We validated CKI across four scales, each testing a different aspect of the method. First, we calibrated CKI on Tabula Muris mouse data (5), confirming that random splits of the same cell population yield ω above 1 (empirical calibration baseline 6.67). Second, we extended CKI to Tabula Sapiens human data (6) and found that CKI ω is negatively correlated with all four standard distance metrics, demonstrating that it captures an independent information dimension. Third, we applied CKI to TCGA cancer data (7,8), revealing that tumors are paradoxically more transcriptionally homogeneous than normal tissues. Fourth, we used CKI to analyze a human brain single-nucleus atlas (9), measuring how the same cell types differ across brain regions and demonstrating that CKI can detect persistent developmental signatures—including developmental origin heterogeneity, colonization route boundaries, and a single postnatal migration event—from adult transcriptomic data.</w:t>
      </w:r>
    </w:p>
    <w:p>
      <w:pPr>
        <w:pStyle w:val="Heading1"/>
        <w:spacing w:before="240" w:after="120"/>
      </w:pPr>
      <w:r>
        <w:rPr>
          <w:rFonts w:ascii="Arial" w:hAnsi="Arial"/>
          <w:color w:val="000000"/>
          <w:sz w:val="32"/>
          <w:b/>
        </w:rPr>
        <w:t>Materials and Methods</w:t>
      </w:r>
    </w:p>
    <w:p>
      <w:pPr>
        <w:pStyle w:val="Heading2"/>
        <w:spacing w:before="240" w:after="120"/>
      </w:pPr>
      <w:r>
        <w:rPr>
          <w:rFonts w:ascii="Arial" w:hAnsi="Arial"/>
          <w:color w:val="000000"/>
          <w:sz w:val="28"/>
          <w:b/>
        </w:rPr>
        <w:t>CKI computation</w:t>
      </w:r>
    </w:p>
    <w:p>
      <w:pPr>
        <w:spacing w:line="276" w:lineRule="auto" w:after="60"/>
        <w:ind w:firstLine="0"/>
      </w:pPr>
      <w:r>
        <w:rPr>
          <w:rFonts w:ascii="Arial" w:hAnsi="Arial"/>
          <w:b w:val="0"/>
          <w:i w:val="0"/>
          <w:color w:val="000000"/>
          <w:sz w:val="22"/>
        </w:rPr>
        <w:t>We normalize raw count matrices to 10,000 counts per cell and apply log1p transformation (30). Pseudobulk vectors are computed by averaging expression across cells sharing the same cell-type annotation, requiring at least 10 cells per group. Housekeeping (HK) genes are loaded from the HRT Atlas v1.0 reference (4) (1,130 human-mouse conserved HK genes).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w:t>
      </w:r>
    </w:p>
    <w:p>
      <w:pPr>
        <w:spacing w:line="276" w:lineRule="auto" w:after="60"/>
        <w:ind w:firstLine="0"/>
      </w:pPr>
      <w:r>
        <w:rPr>
          <w:rFonts w:ascii="Arial" w:hAnsi="Arial"/>
          <w:b w:val="0"/>
          <w:i w:val="0"/>
          <w:color w:val="000000"/>
          <w:sz w:val="22"/>
        </w:rPr>
        <w:t>For populations A and B with pseudobulk vectors ε_A and ε_B, each vector is normalized to a probability distribution before JS divergence computation via softmax normalization (p_i = exp(x_i) / Σ exp(x_j)). Then k_n = JS(norm(ε_A[H]), norm(ε_B[H])), where H is the set of HK gene indices. k_f = JS(norm(ε_A[I]), norm(ε_B[I])), where I is the set of top-2,000 highly variable genes (HVGs; Seurat flavor) excluding HK genes. ω = k_f/k_n. JS divergence uses the base-2 logarithm (range [0, 1]).</w:t>
      </w:r>
    </w:p>
    <w:p>
      <w:pPr>
        <w:pStyle w:val="Heading2"/>
        <w:spacing w:before="240" w:after="120"/>
      </w:pPr>
      <w:r>
        <w:rPr>
          <w:rFonts w:ascii="Arial" w:hAnsi="Arial"/>
          <w:color w:val="000000"/>
          <w:sz w:val="28"/>
          <w:b/>
        </w:rPr>
        <w:t>Dimensionality invariance of JS divergence</w:t>
      </w:r>
    </w:p>
    <w:p>
      <w:pPr>
        <w:spacing w:line="276" w:lineRule="auto" w:after="6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ranging from 50 to 5,000 showed that mean JS divergence is effectively constant (0.155–0.159, ratio = 1.001 between d = 1,130 and d = 2,000; Supplementary Fig. S10). This confirms that the systematic inflation of k_f relative to k_n (ω = 6.67 for equivalent populations) arises from HVG selection bias (selecting genes with high cross-cell variance) rather than from dimensional mismatch. The calibrated omega (ω_cal = ω / 6.67) absorbs this bias into the empirical baseline, and the permutation null—constructed using the same gene sets—ensures internal consistency.</w:t>
      </w:r>
    </w:p>
    <w:p>
      <w:pPr>
        <w:pStyle w:val="Heading2"/>
        <w:spacing w:before="240" w:after="120"/>
      </w:pPr>
      <w:r>
        <w:rPr>
          <w:rFonts w:ascii="Arial" w:hAnsi="Arial"/>
          <w:color w:val="000000"/>
          <w:sz w:val="28"/>
          <w:b/>
        </w:rPr>
        <w:t>Bootstrap permutation test</w:t>
      </w:r>
    </w:p>
    <w:p>
      <w:pPr>
        <w:spacing w:line="276" w:lineRule="auto" w:after="60"/>
        <w:ind w:firstLine="0"/>
      </w:pPr>
      <w:r>
        <w:rPr>
          <w:rFonts w:ascii="Arial" w:hAnsi="Arial"/>
          <w:b w:val="0"/>
          <w:i w:val="0"/>
          <w:color w:val="000000"/>
          <w:sz w:val="22"/>
        </w:rPr>
        <w:t>We randomly permute cell labels between the two populations (B = 1,000 for all datasets: mouse pilot of 15 cell-type pairs and 6 calibration controls, human Tabula Sapiens, TCGA, and brain atlas), recompute pseudobulk vectors, and calculate ω_null for each permutation. Empirical P-values are computed as one-sided permutation tests: P = (count(ω_null ≥ ω_obs) + 1)/(B + 1), where the +1 pseudocount avoids P = 0. The one-sided test is appropriate because our hypothesis is directional: we test whether observed ω exceeds the null expectation (equivalent populations), not whether it differs in either direction. Standardized effect size = (ω_obs − mean(ω_null)) / sd(ω_null). Benjamini-Hochberg false discovery rate (FDR) correction is applied within each dataset to account for multiple comparisons. For the larger-scale analyses (human, TCGA, brain), results are also supplemented with non-parametric statistical tests (Spearman correlation, Mann-Whitney U, Kruskal-Wallis, Jonckheere-Terpstra) and descriptive statistics (median, IQR, effect sizes).</w:t>
      </w:r>
    </w:p>
    <w:p>
      <w:pPr>
        <w:pStyle w:val="Heading2"/>
        <w:spacing w:before="240" w:after="120"/>
      </w:pPr>
      <w:r>
        <w:rPr>
          <w:rFonts w:ascii="Arial" w:hAnsi="Arial"/>
          <w:color w:val="000000"/>
          <w:sz w:val="28"/>
          <w:b/>
        </w:rPr>
        <w:t>Datasets</w:t>
      </w:r>
    </w:p>
    <w:p>
      <w:pPr>
        <w:spacing w:line="276" w:lineRule="auto" w:after="60"/>
        <w:ind w:firstLine="0"/>
      </w:pPr>
      <w:r>
        <w:rPr>
          <w:rFonts w:ascii="Arial" w:hAnsi="Arial"/>
          <w:b w:val="0"/>
          <w:i w:val="0"/>
          <w:color w:val="000000"/>
          <w:sz w:val="22"/>
        </w:rPr>
        <w:t>Tabula Muris FACS SmartSeq2 (5): 15,057 cells, 22,308 genes, 6 organs (liver, kidney, spleen, lung, heart, bone marrow). Post-QC: 32 cell-type entries (each with at least 10 cells). Highly variable genes selected using scanpy (25) with flavor="seurat" (26,27) and n_top_genes=2,000.</w:t>
      </w:r>
    </w:p>
    <w:p>
      <w:pPr>
        <w:spacing w:line="276" w:lineRule="auto" w:after="60"/>
        <w:ind w:firstLine="0"/>
      </w:pPr>
      <w:r>
        <w:rPr>
          <w:rFonts w:ascii="Arial" w:hAnsi="Arial"/>
          <w:b w:val="0"/>
          <w:i w:val="0"/>
          <w:color w:val="000000"/>
          <w:sz w:val="22"/>
        </w:rPr>
        <w:t>Tabula Sapiens v1.0 (6): accessed via CZ CELLxGENE Discover. Post-QC: 108,136 cells (6 h5ad files total), 51,852 genes, 102 cell-type entries across 6 organs. HK genes: HRT Atlas v1.0 reference (1,130 genes; human column).</w:t>
      </w:r>
    </w:p>
    <w:p>
      <w:pPr>
        <w:spacing w:line="276" w:lineRule="auto" w:after="60"/>
        <w:ind w:firstLine="0"/>
      </w:pPr>
      <w:r>
        <w:rPr>
          <w:rFonts w:ascii="Arial" w:hAnsi="Arial"/>
          <w:b w:val="0"/>
          <w:i w:val="0"/>
          <w:color w:val="000000"/>
          <w:sz w:val="22"/>
        </w:rPr>
        <w:t>TCGA bulk RNA-seq (28): five cancer types from NCI Genomic Data Commons, accessed via TCGAbiolinks (29) and cBioPortal (14) APIs. LUAD: 495 tumor + 76 normal; LUSC: 567 tumor + 58 normal; LIHC: 365 tumor + 57 normal; KIRC: 755 tumor + 82 normal; BRCA: 1032 tumor + 109 normal. TPM values from UCSC Xena, log2(TPM + 1) transformed. PAM50 classification (11,12): nearest centroid (Pearson correlation), 44 of 47 PAM50 genes matched. LIHC Edmondson grade (10): from cBioPortal, 288 tumors. LUAD mutations: from cBioPortal, 492 samples (61 EGFR, 120 KRAS, 311 WT).</w:t>
      </w:r>
    </w:p>
    <w:p>
      <w:pPr>
        <w:spacing w:line="276" w:lineRule="auto" w:after="60"/>
        <w:ind w:firstLine="0"/>
      </w:pPr>
      <w:r>
        <w:rPr>
          <w:rFonts w:ascii="Arial" w:hAnsi="Arial"/>
          <w:b w:val="0"/>
          <w:i w:val="0"/>
          <w:color w:val="000000"/>
          <w:sz w:val="22"/>
        </w:rPr>
        <w:t>Human brain atlas (9): Siletti et al. (2023) single-nucleus RNA-seq from CZ CELLxGENE Discover. We used the Nonneurons.h5ad dataset (888,263 nuclei, 59,480 genes, 108 brain regions). Cell types were classified by supercluster_term annotation, generating 10 major non-neuronal classes: astrocytes (155,025 nuclei), oligodendrocytes (490,246), oligodendrocyte precursors (110,454 total including committed), microglia (91,838), vascular cells (8,932), fibroblasts (8,156), ependymal cells (5,882), choroid plexus (7,689), and Bergmann glia. We required &gt;= 20 nuclei per (region, cell_type) group and &gt;= 50 nuclei per region. Pseudobulk vectors were computed as the mean of raw counts per group, then normalized using Scanpy normalize_total (target_sum = 10,000) followed by log1p transformation at the pseudobulk level. CKI ω was computed for all same-cell-type cross-region comparisons (31,764 pairs total), using the hybrid scheme described above. HK genes were loaded from the HRT Atlas v1.0 reference (1,115 genes matched to the Siletti gene annotation). Top-200 identity genes were selected per comparison, excluding HK genes.</w:t>
      </w:r>
    </w:p>
    <w:p>
      <w:pPr>
        <w:pStyle w:val="Heading2"/>
        <w:spacing w:before="240" w:after="120"/>
      </w:pPr>
      <w:r>
        <w:rPr>
          <w:rFonts w:ascii="Arial" w:hAnsi="Arial"/>
          <w:color w:val="000000"/>
          <w:sz w:val="28"/>
          <w:b/>
        </w:rPr>
        <w:t>Method comparison</w:t>
      </w:r>
    </w:p>
    <w:p>
      <w:pPr>
        <w:spacing w:line="276" w:lineRule="auto" w:after="60"/>
        <w:ind w:firstLine="0"/>
      </w:pPr>
      <w:r>
        <w:rPr>
          <w:rFonts w:ascii="Arial" w:hAnsi="Arial"/>
          <w:b w:val="0"/>
          <w:i w:val="0"/>
          <w:color w:val="000000"/>
          <w:sz w:val="22"/>
        </w:rPr>
        <w:t>We computed five metrics on all 5,151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pPr>
        <w:pStyle w:val="Heading2"/>
        <w:spacing w:before="240" w:after="120"/>
      </w:pPr>
      <w:r>
        <w:rPr>
          <w:rFonts w:ascii="Arial" w:hAnsi="Arial"/>
          <w:color w:val="000000"/>
          <w:sz w:val="28"/>
          <w:b/>
        </w:rPr>
        <w:t>Multiplicative residual model for brain regional analysis</w:t>
      </w:r>
    </w:p>
    <w:p>
      <w:pPr>
        <w:spacing w:line="276" w:lineRule="auto" w:after="60"/>
        <w:ind w:firstLine="0"/>
      </w:pPr>
      <w:r>
        <w:rPr>
          <w:rFonts w:ascii="Arial" w:hAnsi="Arial"/>
          <w:b w:val="0"/>
          <w:i w:val="0"/>
          <w:color w:val="000000"/>
          <w:sz w:val="22"/>
        </w:rPr>
        <w:t>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Moderate (residual &lt; 0.5, ω &lt; 25), and Weak (residual &lt; 0.75, ω &lt; 35). To provide empirical null calibration, we implemented a permutation-based null distribution: cell type labels were shuffled within each region pair (B = 10,000 permutations), and per-signal empirical P-values were computed as P = (count(null_residual ≤ observed) + 1)/(B + 1). Benjamini-Hochberg FDR correction was applied at two levels. First, per-signal BH-FDR was computed across all 31,764 permutation P-values; however, 36.3% of signals (11,541/31,764) reached the empirical P-value floor (P = 9.99 × 10⁻⁵) of the B = 10,000 permutation test, making per-signal FDR uninformative because the empirical floor precludes proper FDR control. Second, to resolve this saturation, we applied Extreme Value Theory (EVT) using the Peaks-Over-Threshold method: for each saturated signal, we fit a Generalized Pareto Distribution to the 500 smallest null residuals and extrapolated P-values below the empirical floor as P_EVT = (K/B) × S_GPD(u − observed_residual). The EVT-extrapolated P-values for the 30 Strong-tier candidates were then corrected using BH-FDR within the Strong tier (m = 30), identifying 16 statistically significant signals at FDR &lt; 0.05. Importantly, the per-signal tests are not independent (the same cell type or region pair appears in multiple comparisons), and the B = 10,000 permutation budget limits the minimum resolvable P-value; both caveats are addressed by the tier-level FDR strategy which restricts formal inference to the 30 predefined Strong candidates rather than the full 31,764 search space.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w:t>
      </w:r>
    </w:p>
    <w:p>
      <w:pPr>
        <w:spacing w:line="276" w:lineRule="auto" w:after="60"/>
        <w:ind w:firstLine="0"/>
      </w:pPr>
      <w:r>
        <w:rPr>
          <w:rFonts w:ascii="Arial" w:hAnsi="Arial"/>
          <w:b w:val="0"/>
          <w:i w:val="0"/>
          <w:color w:val="000000"/>
          <w:sz w:val="22"/>
        </w:rPr>
        <w:t>For the brain residual model, 11,541 of 31,764 signals (36.3%) reached the empirical P-value floor (P = 9.99 × 10⁻⁵) of the B = 10,000 permutation test, meaning the null distribution contained no residual values as extreme as the observed residual for these signals. To resolve this saturation, we applied Extreme Value Theory (EVT) using the Peaks-Over-Threshold (POT) method. For each saturated signal, we retained the K = 500 smallest null residuals, fit a Generalized Pareto Distribution (GPD) to the exceedances above the empirical threshold using maximum likelihood estimation, and extrapolated P-values below the empirical floor as P = (K/B) × S_GPD(u − observed_residual), where S_GPD is the fitted GPD survival function and u is the threshold. All 11,541 saturated signals were successfully resolved by GPD fitting; no signals required fallback to the empirical floor value.</w:t>
      </w:r>
    </w:p>
    <w:p>
      <w:pPr>
        <w:pStyle w:val="Heading2"/>
        <w:spacing w:before="240" w:after="120"/>
      </w:pPr>
      <w:r>
        <w:rPr>
          <w:rFonts w:ascii="Arial" w:hAnsi="Arial"/>
          <w:color w:val="000000"/>
          <w:sz w:val="28"/>
          <w:b/>
        </w:rPr>
        <w:t>Clinical severity analysis</w:t>
      </w:r>
    </w:p>
    <w:p>
      <w:pPr>
        <w:spacing w:line="276" w:lineRule="auto" w:after="60"/>
        <w:ind w:firstLine="0"/>
      </w:pPr>
      <w:r>
        <w:rPr>
          <w:rFonts w:ascii="Arial" w:hAnsi="Arial"/>
          <w:b w:val="0"/>
          <w:i w:val="0"/>
          <w:color w:val="000000"/>
          <w:sz w:val="22"/>
        </w:rPr>
        <w:t>For TCGA clinical severity analysis, we computed intratumoral ω for samples within each clinical stratum using the hybrid scheme (global k_n from shared HK genes, per-pair k_f from top-200 DE genes). BRCA PAM50 subtypes were classified using nearest centroid (Pearson correlation) against the published PAM50 centroids (11,12); 44 of 47 PAM50 genes matched to TCGA gene symbols. LIHC Edmondson histological grades (10) were obtained from cBioPortal (n = 288 tumors with both grade and expression data). LUAD mutation status (EGFR, KRAS, WT) was retrieved from cBioPortal (n = 492 samples). Between-stratum differences were tested with Kruskal-Wallis for PAM50 subtypes and LUAD mutations; trend across Edmondson grades was tested with Jonckheere-Terpstra. Paired vs. unpaired tumor-normal comparisons are reported as descriptive statistics (medians and IQRs) without formal P-values, as the paired design (tumor and matched adjacent normal from the same patient) does not meet the independence assumption of standard between-group tests.</w:t>
      </w:r>
    </w:p>
    <w:p>
      <w:pPr>
        <w:pStyle w:val="Heading2"/>
        <w:spacing w:before="240" w:after="120"/>
      </w:pPr>
      <w:r>
        <w:rPr>
          <w:rFonts w:ascii="Arial" w:hAnsi="Arial"/>
          <w:color w:val="000000"/>
          <w:sz w:val="28"/>
          <w:b/>
        </w:rPr>
        <w:t>Computational environment</w:t>
      </w:r>
    </w:p>
    <w:p>
      <w:pPr>
        <w:spacing w:line="276" w:lineRule="auto" w:after="60"/>
        <w:ind w:firstLine="0"/>
      </w:pPr>
      <w:r>
        <w:rPr>
          <w:rFonts w:ascii="Arial" w:hAnsi="Arial"/>
          <w:b w:val="0"/>
          <w:i w:val="0"/>
          <w:color w:val="000000"/>
          <w:sz w:val="22"/>
        </w:rPr>
        <w:t>All analyses were performed in Python 3.13.12 with scanpy &gt;= 1.9.0 (25), scipy &gt;= 1.10.0, numpy &gt;= 1.23.0, pandas &gt;= 1.5.0, matplotlib &gt;= 3.6.0, seaborn &gt;= 0.12.0, and scikit-learn &gt;= 1.2.0. All random seeds were fixed at 42.</w:t>
      </w:r>
    </w:p>
    <w:p>
      <w:pPr>
        <w:pStyle w:val="Heading2"/>
        <w:spacing w:before="240" w:after="120"/>
      </w:pPr>
      <w:r>
        <w:rPr>
          <w:rFonts w:ascii="Arial" w:hAnsi="Arial"/>
          <w:color w:val="000000"/>
          <w:sz w:val="28"/>
          <w:b/>
        </w:rPr>
        <w:t>Statistical reporting</w:t>
      </w:r>
    </w:p>
    <w:p>
      <w:pPr>
        <w:spacing w:line="276" w:lineRule="auto" w:after="60"/>
        <w:ind w:firstLine="0"/>
      </w:pPr>
      <w:r>
        <w:rPr>
          <w:rFonts w:ascii="Arial" w:hAnsi="Arial"/>
          <w:b w:val="0"/>
          <w:i w:val="0"/>
          <w:color w:val="000000"/>
          <w:sz w:val="22"/>
        </w:rPr>
        <w:t>We report summary statistics as mean ± s.d. (range) or median [IQR] as noted. Box plots display median, IQR, and 1.5× IQR whiskers. Bootstrap permutation testing was performed for all four datasets with B = 1,000: mouse pilot (15 cell-type pairs, 6 calibration controls), human Tabula Sapiens, TCGA, and brain atlas. Empirical P-values are computed as one-sided permutation tests: P = (count(ω_null ≥ ω_obs) + 1)/(B + 1), where the null distribution is built from B = 1,000 random permutations of cell labels. This tests whether the observed ω is larger than expected under random group assignment. Benjamini-Hochberg FDR correction is applied within each dataset to control the false discovery rate (24). The number of tests is determined by the number of cell types (10 for brain, 17 for human per-cell-type, 15 for mouse), not the number of region pairs. With B = 1,000, the minimum resolvable P-value is 9.99 × 10⁻⁴, which is well below the Benjamini-Hochberg threshold for the most significant test in each dataset (brain: 5.0 × 10⁻³; human: 2.9 × 10⁻³; mouse: 3.3 × 10⁻³), confirming that B = 1,000 provides sufficient resolution for all tests.</w:t>
      </w:r>
    </w:p>
    <w:p>
      <w:pPr>
        <w:spacing w:line="276" w:lineRule="auto" w:after="6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The ω distribution was characterized using skewness, excess kurtosis, and normality tests (Shapiro-Wilk for n ≤ 5,000; D’Agostino-Pearson for n &gt; 5,000). All ω distributions were right-skewed (brain: skewness = 2.22; mouse: 0.98; human: 0.73) and significantly non-normal (all P &lt; 10⁻¹⁵). Effect sizes are reported as Cohen's d as a descriptive measure of separation; given the non-normal ω distribution, d should be interpreted as a standardized mean difference rather than a parametric test statistic. The calibration experiment using split-half equivalent populations (n = 6 random splits of the same tissue) yielded a mean ω = 6.67, reflecting systematic inflation of k_f relative to k_n from HVG gene selection. This empirical baseline does not represent a shift in the null hypothesis for the permutation test, but indicates that ω = 1 is a theoretical ideal (k_f = k_n) that is never reached in practice due to the way functional genes are identified. The permutation test accounts for this by comparing observed ω against a null distribution constructed from the same gene selection procedure applied to randomly permuted groups. The +1 pseudocount ensures that P &gt; 0 even when no null permutation exceeds the observed deviation. For the larger-scale analyses (human, TCGA, brain), non-parametric statistical tests (Spearman correlation, Mann-Whitney U, Kruskal-Wallis, Jonckheere-Terpstra) and descriptive statistics (median, IQR, effect sizes) are also reported. Correlation coefficients (Spearman ρ) are reported with associated P-values. Omnibus tests (Kruskal-Wallis, Jonckheere-Terpstra) use P &lt; 0.05 without additional correction.</w:t>
      </w:r>
    </w:p>
    <w:p>
      <w:pPr>
        <w:pStyle w:val="Heading1"/>
        <w:spacing w:before="240" w:after="120"/>
      </w:pPr>
      <w:r>
        <w:rPr>
          <w:rFonts w:ascii="Arial" w:hAnsi="Arial"/>
          <w:color w:val="000000"/>
          <w:sz w:val="32"/>
          <w:b/>
        </w:rPr>
        <w:t>Results</w:t>
      </w:r>
    </w:p>
    <w:p>
      <w:pPr>
        <w:pStyle w:val="Heading2"/>
        <w:spacing w:before="240" w:after="120"/>
      </w:pPr>
      <w:r>
        <w:rPr>
          <w:rFonts w:ascii="Arial" w:hAnsi="Arial"/>
          <w:color w:val="000000"/>
          <w:sz w:val="28"/>
          <w:b/>
        </w:rPr>
        <w:t>Decomposing transcriptomic variation</w:t>
      </w:r>
    </w:p>
    <w:p>
      <w:pPr>
        <w:spacing w:line="276" w:lineRule="auto" w:after="60"/>
        <w:ind w:firstLine="0"/>
      </w:pPr>
      <w:r>
        <w:rPr>
          <w:rFonts w:ascii="Arial" w:hAnsi="Arial"/>
          <w:b w:val="0"/>
          <w:i w:val="0"/>
          <w:color w:val="000000"/>
          <w:sz w:val="22"/>
        </w:rPr>
        <w:t>CKI takes two cell populations as input, each represented as a pseudobulk expression vector (the mean expression across all cells in that population). The computation has three steps, all of which use the same metric (Jensen-Shannon divergence) on the same underlying expression matrix, ensuring the ratio is internally calibrated (Fig. 1).</w:t>
      </w:r>
    </w:p>
    <w:p>
      <w:pPr>
        <w:spacing w:line="276" w:lineRule="auto" w:after="60"/>
        <w:ind w:firstLine="0"/>
      </w:pPr>
      <w:r>
        <w:rPr>
          <w:rFonts w:ascii="Arial" w:hAnsi="Arial"/>
          <w:b w:val="0"/>
          <w:i w:val="0"/>
          <w:color w:val="000000"/>
          <w:sz w:val="22"/>
        </w:rPr>
        <w:t>Step 1: Compute the baseline divergence rate k_n. We restrict the pseudobulk vectors to housekeeping (HK) gene indices and apply softmax normalization, which converts expression values to probabilities. k_n is the JS divergence between these two HK gene probability distributions. Because HK genes should not differ systematically between biologically equivalent populations (4), k_n captures baseline noise: technical variation, stochastic transcriptional bursting, and individual-level physiological differences.</w:t>
      </w:r>
    </w:p>
    <w:p>
      <w:pPr>
        <w:spacing w:line="276" w:lineRule="auto" w:after="6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identity genes are the top-2,000 highly variable genes (HVGs; Seurat flavor), excluding HK genes to maintain k_n/k_f independence. k_f is the JS divergence between these two identity gene probability distributions.</w:t>
      </w:r>
    </w:p>
    <w:p>
      <w:pPr>
        <w:spacing w:line="276" w:lineRule="auto" w:after="60"/>
        <w:ind w:firstLine="0"/>
      </w:pPr>
      <w:r>
        <w:rPr>
          <w:rFonts w:ascii="Arial" w:hAnsi="Arial"/>
          <w:b w:val="0"/>
          <w:i w:val="0"/>
          <w:color w:val="000000"/>
          <w:sz w:val="22"/>
        </w:rPr>
        <w:t>Step 3: ω = k_f/k_n. For statistical inference, we perform bootstrap permutation testing (B = 1,000 for all datasets: mouse, human, TCGA, and brain). Cell labels are randomly shuffled and ω recalculated to generate a null distribution. The empirical P-value is P = (count(ω_null ≥ ω_obs) + 1)/(B + 1), and effect size is reported as Cohen's d. Benjamini-Hochberg FDR correction is applied within each dataset. For the larger-scale analyses (Tabula Sapiens, TCGA, brain atlas), non-parametric statistical tests and descriptive statistics (median, IQR, effect sizes) are also reported.</w:t>
      </w:r>
    </w:p>
    <w:p>
      <w:pPr>
        <w:spacing w:line="276" w:lineRule="auto" w:after="60"/>
        <w:ind w:firstLine="0"/>
      </w:pPr>
      <w:r>
        <w:rPr>
          <w:rFonts w:ascii="Arial" w:hAnsi="Arial"/>
          <w:b w:val="0"/>
          <w:i w:val="0"/>
          <w:color w:val="000000"/>
          <w:sz w:val="22"/>
        </w:rPr>
        <w:t>We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0.847, Supplementary Fig. S1). CKI does not require external pathway databases to produce biologically meaningful results—partitioning the expression data into neutral and identity gene sets is sufficient.</w:t>
      </w:r>
    </w:p>
    <w:p>
      <w:pPr>
        <w:pStyle w:val="Heading2"/>
        <w:spacing w:before="240" w:after="120"/>
      </w:pPr>
      <w:r>
        <w:rPr>
          <w:rFonts w:ascii="Arial" w:hAnsi="Arial"/>
          <w:color w:val="000000"/>
          <w:sz w:val="28"/>
          <w:b/>
        </w:rPr>
        <w:t>Calibration confirms baseline behavior at baseline</w:t>
      </w:r>
    </w:p>
    <w:p>
      <w:pPr>
        <w:spacing w:line="276" w:lineRule="auto" w:after="60"/>
        <w:ind w:firstLine="0"/>
      </w:pPr>
      <w:r>
        <w:rPr>
          <w:rFonts w:ascii="Arial" w:hAnsi="Arial"/>
          <w:b w:val="0"/>
          <w:i w:val="0"/>
          <w:color w:val="000000"/>
          <w:sz w:val="22"/>
        </w:rPr>
        <w:t>We calibrated CKI on the Tabula Muris FACS dataset (5) (SmartSeq2, 15,057 cells, 22,308 genes, 6 organs). Housekeeping genes were loaded from the HRT Atlas v1.0 reference (4) (mouse ortholog column). Identity genes were the top-2,000 highly variable genes (HVGs; Seurat), excluding HK genes (Fig. 2).</w:t>
      </w:r>
    </w:p>
    <w:p>
      <w:pPr>
        <w:spacing w:line="276" w:lineRule="auto" w:after="60"/>
        <w:ind w:firstLine="0"/>
      </w:pPr>
      <w:r>
        <w:rPr>
          <w:rFonts w:ascii="Arial" w:hAnsi="Arial"/>
          <w:b w:val="0"/>
          <w:i w:val="0"/>
          <w:color w:val="000000"/>
          <w:sz w:val="22"/>
        </w:rPr>
        <w:t>The calibration confirmed correct baseline behavior. We performed six control comparisons in which we randomly split the same cell population into two halves. The mean ω was 6.67 (median 6.46, range 1.59–12.16), and none of the six comparisons reached statistical significance (all P &gt; 0.05, one-sided bootstrap test). This confirms that CKI recognizes biologically equivalent cell populations as having no functional divergence. We note that while these results are consistent with baseline behavior, formal equivalence testing (e.g., two one-sided tests, TOST) with a larger calibration sample would provide stronger statistical evidence for equivalence; the current sample size (n = 6) limits the power of such tests.</w:t>
      </w:r>
    </w:p>
    <w:p>
      <w:pPr>
        <w:spacing w:line="276" w:lineRule="auto" w:after="60"/>
        <w:ind w:firstLine="0"/>
      </w:pPr>
      <w:r>
        <w:rPr>
          <w:rFonts w:ascii="Arial" w:hAnsi="Arial"/>
          <w:b w:val="0"/>
          <w:i w:val="0"/>
          <w:color w:val="000000"/>
          <w:sz w:val="22"/>
        </w:rPr>
        <w:t>Beyond controls, ω values increased monotonically with biological distance. Same cell type across different organs (S category: mean ω = 21.31, n = 4 pairs) had lower ω than different cell types within the same organ (D category: mean ω = 43.19, n = 3 pairs). The component-level analysis confirmed that k_f was the driver: k_f increased roughly 1,000-fold from controls to inter-cell-type comparisons, while k_n increased only about 100-fold. This establishes that CKI measures functional divergence, not just total difference.</w:t>
      </w:r>
    </w:p>
    <w:p>
      <w:pPr>
        <w:spacing w:line="276" w:lineRule="auto" w:after="60"/>
        <w:ind w:firstLine="0"/>
      </w:pPr>
      <w:r>
        <w:rPr>
          <w:rFonts w:ascii="Arial" w:hAnsi="Arial"/>
          <w:b w:val="0"/>
          <w:i w:val="0"/>
          <w:color w:val="000000"/>
          <w:sz w:val="22"/>
        </w:rPr>
        <w:t>Because the empirical baseline (ω = 6.67) deviates substantially from the theoretical ideal (ω = 1), we introduce a calibrated omega: ω_cal = ω_obs / 6.67. This rescales all values so that equivalent populations yield ω_cal ≈ 1.0, restoring the interpretability of the ratio framework. Under this calibration, mouse controls yield ω_cal = 1.00, brain global mean becomes ω_cal = 1.20 (raw 8.01), and astrocytes—the most regionally divergent brain cell type—yield ω_cal = 2.15 (raw 14.36). Cell types with ω_cal &lt; 1, such as Bergmann glia (ω_cal = 0.36), are more transcriptionally constrained between brain regions than the empirical baseline. The calibrated values are reported alongside raw ω in all key results and Supplementary Figures 10–12. The calibrate_omega() function is available in the CKI package.</w:t>
      </w:r>
    </w:p>
    <w:p>
      <w:pPr>
        <w:pStyle w:val="Heading2"/>
        <w:spacing w:before="240" w:after="120"/>
      </w:pPr>
      <w:r>
        <w:rPr>
          <w:rFonts w:ascii="Arial" w:hAnsi="Arial"/>
          <w:color w:val="000000"/>
          <w:sz w:val="28"/>
          <w:b/>
        </w:rPr>
        <w:t>CKI captures information that standard metrics miss</w:t>
      </w:r>
    </w:p>
    <w:p>
      <w:pPr>
        <w:spacing w:line="276" w:lineRule="auto" w:after="60"/>
        <w:ind w:firstLine="0"/>
      </w:pPr>
      <w:r>
        <w:rPr>
          <w:rFonts w:ascii="Arial" w:hAnsi="Arial"/>
          <w:b w:val="0"/>
          <w:i w:val="0"/>
          <w:color w:val="000000"/>
          <w:sz w:val="22"/>
        </w:rPr>
        <w:t>We extended CKI to the Tabula Sapiens human atlas (6) (108,136 cells; 6 h5ad files total, 102 cell-type entries, 6 organs: liver, kidney, heart, bone marrow, spleen, lung). For human data, we used a hybrid scheme: k_n was computed once globally (using the full gene-by-cell-type pseudobulk matrix with the shared HK gene set), while k_f was computed per pair using the top-200 differentially expressed genes for that specific pair. This hybrid approach keeps k_n on a consistent scale (all cell types share the same HK gene set), while k_f adaptively selects the most informative identity genes for each pair. Critically, since ω = k_f/k_n is a ratio of JS divergences computed from the same underlying pseudobulk expression space, the normalization remains internally valid despite the different gene selection strategies. For the brain analysis, k_n was computed per-pair (not globally), because regional comparisons within the same cell type demand pair-specific baselines. Analysis of per-pair k_n across 31,764 brain comparisons revealed substantial cross-pair variability (CV = 97.35%), and the Spearman correlation between per-pair ω and global-k_n ω was only -0.027 (P = 9.96e-07), confirming that pair-specific k_n is essential for accurate ω ranking (Supplementary Fig. S11). HK genes were loaded from the HRT Atlas v1.0 reference (4) (human column) (Fig. 3).</w:t>
      </w:r>
    </w:p>
    <w:p>
      <w:pPr>
        <w:spacing w:line="276" w:lineRule="auto" w:after="60"/>
        <w:ind w:firstLine="0"/>
      </w:pPr>
      <w:r>
        <w:rPr>
          <w:rFonts w:ascii="Arial" w:hAnsi="Arial"/>
          <w:b w:val="0"/>
          <w:i w:val="0"/>
          <w:color w:val="000000"/>
          <w:sz w:val="22"/>
        </w:rPr>
        <w:t>Human ω values ranged from 1.10 to 58.69 (mean 14.23, median 13.81, n = 5,151 pairs), substantively lower than mouse (mean 27.31). This difference likely reflects fundamentally different data structures: mouse data uses a global k_n scheme (k_n computed once globally on shared HK genes, k_f computed per pair with the global HVG set), while the human hybrid scheme uses a global k_n with per-pair k_f, which alters the effective ω scale. Despite this, the biological hierarchy was preserved: same cell type across organs (mean ω = 15.83, n = 59 pairs) was lower than different cell types within the same organ (mean ω = 24.87, n = 1,038 pairs).</w:t>
      </w:r>
    </w:p>
    <w:p>
      <w:pPr>
        <w:spacing w:line="276" w:lineRule="auto" w:after="60"/>
        <w:ind w:firstLine="0"/>
      </w:pPr>
      <w:r>
        <w:rPr>
          <w:rFonts w:ascii="Arial" w:hAnsi="Arial"/>
          <w:b w:val="0"/>
          <w:i w:val="0"/>
          <w:color w:val="000000"/>
          <w:sz w:val="22"/>
        </w:rPr>
        <w:t>The critical finding was that CKI captures a largely independent information dimension. We computed five metrics on all 5,151 human cell-type pairs: CKI ω, raw JS divergence (all genes), Spearman distance, cosine distance, and marker Jaccard distance. CKI ω was negatively correlated with all four standard metrics (Spearman r = -0.38 to -0.57, all P &lt; 0.001). In contrast, the four standard metrics formed a tight positive cluster (pairwise r = 0.57–0.95). This negative correlation is the strongest evidence that CKI measures something fundamentally different from all existing distance metrics.</w:t>
      </w:r>
    </w:p>
    <w:p>
      <w:pPr>
        <w:spacing w:before="240" w:after="120"/>
      </w:pPr>
      <w:r>
        <w:rPr>
          <w:rFonts w:ascii="Arial" w:hAnsi="Arial"/>
          <w:b/>
          <w:sz w:val="18"/>
        </w:rPr>
        <w:t>Table 1. Classification AUC of five metrics on Tabula Sapiens (102 cell types, 5,151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0.836</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omega</w:t>
            </w:r>
          </w:p>
        </w:tc>
        <w:tc>
          <w:tcPr>
            <w:tcW w:type="dxa" w:w="4703"/>
          </w:tcPr>
          <w:p>
            <w:r>
              <w:t>0.716</w:t>
            </w:r>
          </w:p>
        </w:tc>
      </w:tr>
    </w:tbl>
    <w:p>
      <w:pPr>
        <w:spacing w:after="120"/>
      </w:pPr>
    </w:p>
    <w:p>
      <w:pPr>
        <w:spacing w:line="276" w:lineRule="auto" w:after="60"/>
        <w:ind w:firstLine="0"/>
      </w:pPr>
      <w:r>
        <w:rPr>
          <w:rFonts w:ascii="Arial" w:hAnsi="Arial"/>
          <w:b w:val="0"/>
          <w:i w:val="0"/>
          <w:color w:val="000000"/>
          <w:sz w:val="22"/>
        </w:rPr>
        <w:t>CKI showed moderate cell-type classification performance (AUC = 0.716, above Spearman distance at AUC = 0.690 but below cosine distance at AUC = 0.887; Table 1). This is consistent with CKI's design: by down-weighting shared HK gene patterns, it trades some ability to detect global transcriptional identity for enhanced sensitivity to functional specialization. Critically, CKI was the only metric where same-organ pairs had higher values than different-organ pairs (mean ω 24.87 vs. 20.80, Mann-Whitney U test, P &lt; 0.001). All four standard metrics showed the opposite pattern (same-organ &lt; different-organ). This reversal reflects CKI's sensitivity to functional specialization within shared microenvironments, a signal that standard metrics systematically obscure.</w:t>
      </w:r>
    </w:p>
    <w:p>
      <w:pPr>
        <w:pStyle w:val="Heading2"/>
        <w:spacing w:before="240" w:after="120"/>
      </w:pPr>
      <w:r>
        <w:rPr>
          <w:rFonts w:ascii="Arial" w:hAnsi="Arial"/>
          <w:color w:val="000000"/>
          <w:sz w:val="28"/>
          <w:b/>
        </w:rPr>
        <w:t>Cancer analysis reveals unexpected transcriptional convergence</w:t>
      </w:r>
    </w:p>
    <w:p>
      <w:pPr>
        <w:spacing w:line="276" w:lineRule="auto" w:after="60"/>
        <w:ind w:firstLine="0"/>
      </w:pPr>
      <w:r>
        <w:rPr>
          <w:rFonts w:ascii="Arial" w:hAnsi="Arial"/>
          <w:b w:val="0"/>
          <w:i w:val="0"/>
          <w:color w:val="000000"/>
          <w:sz w:val="22"/>
        </w:rPr>
        <w:t>We applied CKI to TCGA bulk RNA-seq data across five cancer types (LUAD, LUSC, LIHC, KIRC, BRCA) (7,8), totalling 3,596 samples. We asked a simple question: when cancer develops, how much functional transcriptional divergence occurs? CKI provides a principled answer by comparing tumor-tumor (TT), normal-normal (NN), and tumor-normal (TN) ω values (Fig. 4).</w:t>
      </w:r>
    </w:p>
    <w:p>
      <w:pPr>
        <w:spacing w:line="276" w:lineRule="auto" w:after="60"/>
        <w:ind w:firstLine="0"/>
      </w:pPr>
      <w:r>
        <w:rPr>
          <w:rFonts w:ascii="Arial" w:hAnsi="Arial"/>
          <w:b w:val="0"/>
          <w:i w:val="0"/>
          <w:color w:val="000000"/>
          <w:sz w:val="22"/>
        </w:rPr>
        <w:t>A notable finding was that tumors are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 However, because TCGA data are bulk RNA-seq, this apparent convergence has multiple non-exclusive explanations beyond true transcriptional convergence: (i) shifts in tumor cell composition relative to normal tissue (tumor purity, stromal infiltration, immune cell infiltration); (ii) peritumoral inflammation and desmoplastic reactions that are shared across tumors; (iii) systematic RNA quality differences between tumor and normal specimens. We therefore interpret these results as exploratory observations at bulk resolution, and note that single-cell or deconvolution-based analyses would be needed to disentangle genuine transcriptional convergence from cell-composition artifacts.</w:t>
      </w:r>
    </w:p>
    <w:p>
      <w:pPr>
        <w:spacing w:line="276" w:lineRule="auto" w:after="60"/>
        <w:ind w:firstLine="0"/>
      </w:pPr>
      <w:r>
        <w:rPr>
          <w:rFonts w:ascii="Arial" w:hAnsi="Arial"/>
          <w:b w:val="0"/>
          <w:i w:val="0"/>
          <w:color w:val="000000"/>
          <w:sz w:val="22"/>
        </w:rPr>
        <w:t>Paired tumor-normal comparisons yielded higher ω than unpaired comparisons in four of five cancer types (paired/unpaired ratio = 0.99–3.25). However, with only n = 2–5 paired samples per cancer type, formal hypothesis testing lacks adequate statistical power (minimum two-sided P ≈ 0.33 for n = 2); we therefore report these comparisons as descriptive statistics only, without P-values. Definitive conclusions about within-patient versus between-patient variation require larger paired cohorts.</w:t>
      </w:r>
    </w:p>
    <w:p>
      <w:pPr>
        <w:spacing w:line="276" w:lineRule="auto" w:after="60"/>
        <w:ind w:firstLine="0"/>
      </w:pPr>
      <w:r>
        <w:rPr>
          <w:rFonts w:ascii="Arial" w:hAnsi="Arial"/>
          <w:b w:val="0"/>
          <w:i w:val="0"/>
          <w:color w:val="000000"/>
          <w:sz w:val="22"/>
        </w:rPr>
        <w:t>We then asked whether ω tracks with clinical severity within cancer types. In liver cancer, ω decreased with increasing Edmondson grade (10): G1 (101.8 ± 46.8, n = 39) &gt; G2 (100.2 ± 63.9, n = 133) &gt; G3 (96.8 ± 58.2, n = 105) &gt; G4 (90.0 ± 57.8, n = 11; Jonckheere-Terpstra trend test, P &lt; 0.001). In breast cancer, PAM50 subtype analysis (11,12)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 We note that the smallest subgroups (Normal-like n = 7; Edmondson G4 n = 11) have limited statistical power, and their rankings should be interpreted cautiously. Furthermore, the PAM50 gradient may partly reflect proliferative fraction differences across subtypes (Basal-like tumors have the highest proliferation rates and the lowest ω), meaning that the observed convergence could be driven by proliferation programs overriding tissue-specific expression rather than by a shared transcriptional attractor per se. The TCGA analysis is therefore exploratory in nature: bulk RNA-seq confounds cell-composition shifts, peritumoral inflammation, and RNA quality differences with genuine transcriptional divergence, and these alternative explanations cannot be ruled out at bulk resolution.</w:t>
      </w:r>
    </w:p>
    <w:p>
      <w:pPr>
        <w:pStyle w:val="Heading2"/>
        <w:spacing w:before="240" w:after="120"/>
      </w:pPr>
      <w:r>
        <w:rPr>
          <w:rFonts w:ascii="Arial" w:hAnsi="Arial"/>
          <w:color w:val="000000"/>
          <w:sz w:val="28"/>
          <w:b/>
        </w:rPr>
        <w:t>CKI ranks cell types by cross-organ conservation</w:t>
      </w:r>
    </w:p>
    <w:p>
      <w:pPr>
        <w:spacing w:before="240" w:after="120"/>
      </w:pPr>
      <w:r>
        <w:rPr>
          <w:rFonts w:ascii="Arial" w:hAnsi="Arial"/>
          <w:b/>
          <w:sz w:val="18"/>
        </w:rPr>
        <w:t>Table 2. Cross-organ conservation ranking by cell type (Tabula Sapiens, n=59 same-cell-type cross-organ pairs).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B cell</w:t>
            </w:r>
          </w:p>
        </w:tc>
        <w:tc>
          <w:tcPr>
            <w:tcW w:type="dxa" w:w="2351"/>
          </w:tcPr>
          <w:p>
            <w:r>
              <w:t>2.70</w:t>
            </w:r>
          </w:p>
        </w:tc>
        <w:tc>
          <w:tcPr>
            <w:tcW w:type="dxa" w:w="2351"/>
          </w:tcPr>
          <w:p>
            <w:r>
              <w:t>—</w:t>
            </w:r>
          </w:p>
        </w:tc>
        <w:tc>
          <w:tcPr>
            <w:tcW w:type="dxa" w:w="2351"/>
          </w:tcPr>
          <w:p>
            <w:r>
              <w:t>1</w:t>
            </w:r>
          </w:p>
        </w:tc>
      </w:tr>
      <w:tr>
        <w:tc>
          <w:tcPr>
            <w:tcW w:type="dxa" w:w="2351"/>
          </w:tcPr>
          <w:p>
            <w:r>
              <w:t>Neutrophil</w:t>
            </w:r>
          </w:p>
        </w:tc>
        <w:tc>
          <w:tcPr>
            <w:tcW w:type="dxa" w:w="2351"/>
          </w:tcPr>
          <w:p>
            <w:r>
              <w:t>2.72</w:t>
            </w:r>
          </w:p>
        </w:tc>
        <w:tc>
          <w:tcPr>
            <w:tcW w:type="dxa" w:w="2351"/>
          </w:tcPr>
          <w:p>
            <w:r>
              <w:t>1.22</w:t>
            </w:r>
          </w:p>
        </w:tc>
        <w:tc>
          <w:tcPr>
            <w:tcW w:type="dxa" w:w="2351"/>
          </w:tcPr>
          <w:p>
            <w:r>
              <w:t>6</w:t>
            </w:r>
          </w:p>
        </w:tc>
      </w:tr>
      <w:tr>
        <w:tc>
          <w:tcPr>
            <w:tcW w:type="dxa" w:w="2351"/>
          </w:tcPr>
          <w:p>
            <w:r>
              <w:t>Smooth muscle cell</w:t>
            </w:r>
          </w:p>
        </w:tc>
        <w:tc>
          <w:tcPr>
            <w:tcW w:type="dxa" w:w="2351"/>
          </w:tcPr>
          <w:p>
            <w:r>
              <w:t>6.29</w:t>
            </w:r>
          </w:p>
        </w:tc>
        <w:tc>
          <w:tcPr>
            <w:tcW w:type="dxa" w:w="2351"/>
          </w:tcPr>
          <w:p>
            <w:r>
              <w:t>—</w:t>
            </w:r>
          </w:p>
        </w:tc>
        <w:tc>
          <w:tcPr>
            <w:tcW w:type="dxa" w:w="2351"/>
          </w:tcPr>
          <w:p>
            <w:r>
              <w:t>1</w:t>
            </w:r>
          </w:p>
        </w:tc>
      </w:tr>
      <w:tr>
        <w:tc>
          <w:tcPr>
            <w:tcW w:type="dxa" w:w="2351"/>
          </w:tcPr>
          <w:p>
            <w:r>
              <w:t>Plasma cell</w:t>
            </w:r>
          </w:p>
        </w:tc>
        <w:tc>
          <w:tcPr>
            <w:tcW w:type="dxa" w:w="2351"/>
          </w:tcPr>
          <w:p>
            <w:r>
              <w:t>6.61</w:t>
            </w:r>
          </w:p>
        </w:tc>
        <w:tc>
          <w:tcPr>
            <w:tcW w:type="dxa" w:w="2351"/>
          </w:tcPr>
          <w:p>
            <w:r>
              <w:t>3.42</w:t>
            </w:r>
          </w:p>
        </w:tc>
        <w:tc>
          <w:tcPr>
            <w:tcW w:type="dxa" w:w="2351"/>
          </w:tcPr>
          <w:p>
            <w:r>
              <w:t>6</w:t>
            </w:r>
          </w:p>
        </w:tc>
      </w:tr>
      <w:tr>
        <w:tc>
          <w:tcPr>
            <w:tcW w:type="dxa" w:w="2351"/>
          </w:tcPr>
          <w:p>
            <w:r>
              <w:t>Erythrocyte</w:t>
            </w:r>
          </w:p>
        </w:tc>
        <w:tc>
          <w:tcPr>
            <w:tcW w:type="dxa" w:w="2351"/>
          </w:tcPr>
          <w:p>
            <w:r>
              <w:t>6.90</w:t>
            </w:r>
          </w:p>
        </w:tc>
        <w:tc>
          <w:tcPr>
            <w:tcW w:type="dxa" w:w="2351"/>
          </w:tcPr>
          <w:p>
            <w:r>
              <w:t>6.31</w:t>
            </w:r>
          </w:p>
        </w:tc>
        <w:tc>
          <w:tcPr>
            <w:tcW w:type="dxa" w:w="2351"/>
          </w:tcPr>
          <w:p>
            <w:r>
              <w:t>3</w:t>
            </w:r>
          </w:p>
        </w:tc>
      </w:tr>
      <w:tr>
        <w:tc>
          <w:tcPr>
            <w:tcW w:type="dxa" w:w="2351"/>
          </w:tcPr>
          <w:p>
            <w:r>
              <w:t>CD8+ T cell</w:t>
            </w:r>
          </w:p>
        </w:tc>
        <w:tc>
          <w:tcPr>
            <w:tcW w:type="dxa" w:w="2351"/>
          </w:tcPr>
          <w:p>
            <w:r>
              <w:t>8.26</w:t>
            </w:r>
          </w:p>
        </w:tc>
        <w:tc>
          <w:tcPr>
            <w:tcW w:type="dxa" w:w="2351"/>
          </w:tcPr>
          <w:p>
            <w:r>
              <w:t>3.73</w:t>
            </w:r>
          </w:p>
        </w:tc>
        <w:tc>
          <w:tcPr>
            <w:tcW w:type="dxa" w:w="2351"/>
          </w:tcPr>
          <w:p>
            <w:r>
              <w:t>6</w:t>
            </w:r>
          </w:p>
        </w:tc>
      </w:tr>
      <w:tr>
        <w:tc>
          <w:tcPr>
            <w:tcW w:type="dxa" w:w="2351"/>
          </w:tcPr>
          <w:p>
            <w:r>
              <w:t>Intermediate monocyte</w:t>
            </w:r>
          </w:p>
        </w:tc>
        <w:tc>
          <w:tcPr>
            <w:tcW w:type="dxa" w:w="2351"/>
          </w:tcPr>
          <w:p>
            <w:r>
              <w:t>8.63</w:t>
            </w:r>
          </w:p>
        </w:tc>
        <w:tc>
          <w:tcPr>
            <w:tcW w:type="dxa" w:w="2351"/>
          </w:tcPr>
          <w:p>
            <w:r>
              <w:t>—</w:t>
            </w:r>
          </w:p>
        </w:tc>
        <w:tc>
          <w:tcPr>
            <w:tcW w:type="dxa" w:w="2351"/>
          </w:tcPr>
          <w:p>
            <w:r>
              <w:t>1</w:t>
            </w:r>
          </w:p>
        </w:tc>
      </w:tr>
      <w:tr>
        <w:tc>
          <w:tcPr>
            <w:tcW w:type="dxa" w:w="2351"/>
          </w:tcPr>
          <w:p>
            <w:r>
              <w:t>Hepatocyte</w:t>
            </w:r>
          </w:p>
        </w:tc>
        <w:tc>
          <w:tcPr>
            <w:tcW w:type="dxa" w:w="2351"/>
          </w:tcPr>
          <w:p>
            <w:r>
              <w:t>8.77</w:t>
            </w:r>
          </w:p>
        </w:tc>
        <w:tc>
          <w:tcPr>
            <w:tcW w:type="dxa" w:w="2351"/>
          </w:tcPr>
          <w:p>
            <w:r>
              <w:t>—</w:t>
            </w:r>
          </w:p>
        </w:tc>
        <w:tc>
          <w:tcPr>
            <w:tcW w:type="dxa" w:w="2351"/>
          </w:tcPr>
          <w:p>
            <w:r>
              <w:t>1</w:t>
            </w:r>
          </w:p>
        </w:tc>
      </w:tr>
      <w:tr>
        <w:tc>
          <w:tcPr>
            <w:tcW w:type="dxa" w:w="2351"/>
          </w:tcPr>
          <w:p>
            <w:r>
              <w:t>NK cell</w:t>
            </w:r>
          </w:p>
        </w:tc>
        <w:tc>
          <w:tcPr>
            <w:tcW w:type="dxa" w:w="2351"/>
          </w:tcPr>
          <w:p>
            <w:r>
              <w:t>9.47</w:t>
            </w:r>
          </w:p>
        </w:tc>
        <w:tc>
          <w:tcPr>
            <w:tcW w:type="dxa" w:w="2351"/>
          </w:tcPr>
          <w:p>
            <w:r>
              <w:t>3.41</w:t>
            </w:r>
          </w:p>
        </w:tc>
        <w:tc>
          <w:tcPr>
            <w:tcW w:type="dxa" w:w="2351"/>
          </w:tcPr>
          <w:p>
            <w:r>
              <w:t>10</w:t>
            </w:r>
          </w:p>
        </w:tc>
      </w:tr>
      <w:tr>
        <w:tc>
          <w:tcPr>
            <w:tcW w:type="dxa" w:w="2351"/>
          </w:tcPr>
          <w:p>
            <w:r>
              <w:t>Hematopoietic stem cell</w:t>
            </w:r>
          </w:p>
        </w:tc>
        <w:tc>
          <w:tcPr>
            <w:tcW w:type="dxa" w:w="2351"/>
          </w:tcPr>
          <w:p>
            <w:r>
              <w:t>9.66</w:t>
            </w:r>
          </w:p>
        </w:tc>
        <w:tc>
          <w:tcPr>
            <w:tcW w:type="dxa" w:w="2351"/>
          </w:tcPr>
          <w:p>
            <w:r>
              <w:t>—</w:t>
            </w:r>
          </w:p>
        </w:tc>
        <w:tc>
          <w:tcPr>
            <w:tcW w:type="dxa" w:w="2351"/>
          </w:tcPr>
          <w:p>
            <w:r>
              <w:t>1</w:t>
            </w:r>
          </w:p>
        </w:tc>
      </w:tr>
      <w:tr>
        <w:tc>
          <w:tcPr>
            <w:tcW w:type="dxa" w:w="2351"/>
          </w:tcPr>
          <w:p>
            <w:r>
              <w:t>Macrophage</w:t>
            </w:r>
          </w:p>
        </w:tc>
        <w:tc>
          <w:tcPr>
            <w:tcW w:type="dxa" w:w="2351"/>
          </w:tcPr>
          <w:p>
            <w:r>
              <w:t>9.84</w:t>
            </w:r>
          </w:p>
        </w:tc>
        <w:tc>
          <w:tcPr>
            <w:tcW w:type="dxa" w:w="2351"/>
          </w:tcPr>
          <w:p>
            <w:r>
              <w:t>6.31</w:t>
            </w:r>
          </w:p>
        </w:tc>
        <w:tc>
          <w:tcPr>
            <w:tcW w:type="dxa" w:w="2351"/>
          </w:tcPr>
          <w:p>
            <w:r>
              <w:t>15</w:t>
            </w:r>
          </w:p>
        </w:tc>
      </w:tr>
      <w:tr>
        <w:tc>
          <w:tcPr>
            <w:tcW w:type="dxa" w:w="2351"/>
          </w:tcPr>
          <w:p>
            <w:r>
              <w:t>CD4+ T cell</w:t>
            </w:r>
          </w:p>
        </w:tc>
        <w:tc>
          <w:tcPr>
            <w:tcW w:type="dxa" w:w="2351"/>
          </w:tcPr>
          <w:p>
            <w:r>
              <w:t>10.56</w:t>
            </w:r>
          </w:p>
        </w:tc>
        <w:tc>
          <w:tcPr>
            <w:tcW w:type="dxa" w:w="2351"/>
          </w:tcPr>
          <w:p>
            <w:r>
              <w:t>—</w:t>
            </w:r>
          </w:p>
        </w:tc>
        <w:tc>
          <w:tcPr>
            <w:tcW w:type="dxa" w:w="2351"/>
          </w:tcPr>
          <w:p>
            <w:r>
              <w:t>1</w:t>
            </w:r>
          </w:p>
        </w:tc>
      </w:tr>
      <w:tr>
        <w:tc>
          <w:tcPr>
            <w:tcW w:type="dxa" w:w="2351"/>
          </w:tcPr>
          <w:p>
            <w:r>
              <w:t>Classical monocyte</w:t>
            </w:r>
          </w:p>
        </w:tc>
        <w:tc>
          <w:tcPr>
            <w:tcW w:type="dxa" w:w="2351"/>
          </w:tcPr>
          <w:p>
            <w:r>
              <w:t>11.64</w:t>
            </w:r>
          </w:p>
        </w:tc>
        <w:tc>
          <w:tcPr>
            <w:tcW w:type="dxa" w:w="2351"/>
          </w:tcPr>
          <w:p>
            <w:r>
              <w:t>—</w:t>
            </w:r>
          </w:p>
        </w:tc>
        <w:tc>
          <w:tcPr>
            <w:tcW w:type="dxa" w:w="2351"/>
          </w:tcPr>
          <w:p>
            <w:r>
              <w:t>1</w:t>
            </w:r>
          </w:p>
        </w:tc>
      </w:tr>
      <w:tr>
        <w:tc>
          <w:tcPr>
            <w:tcW w:type="dxa" w:w="2351"/>
          </w:tcPr>
          <w:p>
            <w:r>
              <w:t>Monocyte</w:t>
            </w:r>
          </w:p>
        </w:tc>
        <w:tc>
          <w:tcPr>
            <w:tcW w:type="dxa" w:w="2351"/>
          </w:tcPr>
          <w:p>
            <w:r>
              <w:t>11.80</w:t>
            </w:r>
          </w:p>
        </w:tc>
        <w:tc>
          <w:tcPr>
            <w:tcW w:type="dxa" w:w="2351"/>
          </w:tcPr>
          <w:p>
            <w:r>
              <w:t>—</w:t>
            </w:r>
          </w:p>
        </w:tc>
        <w:tc>
          <w:tcPr>
            <w:tcW w:type="dxa" w:w="2351"/>
          </w:tcPr>
          <w:p>
            <w:r>
              <w:t>1</w:t>
            </w:r>
          </w:p>
        </w:tc>
      </w:tr>
      <w:tr>
        <w:tc>
          <w:tcPr>
            <w:tcW w:type="dxa" w:w="2351"/>
          </w:tcPr>
          <w:p>
            <w:r>
              <w:t>Naive B cell</w:t>
            </w:r>
          </w:p>
        </w:tc>
        <w:tc>
          <w:tcPr>
            <w:tcW w:type="dxa" w:w="2351"/>
          </w:tcPr>
          <w:p>
            <w:r>
              <w:t>12.36</w:t>
            </w:r>
          </w:p>
        </w:tc>
        <w:tc>
          <w:tcPr>
            <w:tcW w:type="dxa" w:w="2351"/>
          </w:tcPr>
          <w:p>
            <w:r>
              <w:t>—</w:t>
            </w:r>
          </w:p>
        </w:tc>
        <w:tc>
          <w:tcPr>
            <w:tcW w:type="dxa" w:w="2351"/>
          </w:tcPr>
          <w:p>
            <w:r>
              <w:t>1</w:t>
            </w:r>
          </w:p>
        </w:tc>
      </w:tr>
      <w:tr>
        <w:tc>
          <w:tcPr>
            <w:tcW w:type="dxa" w:w="2351"/>
          </w:tcPr>
          <w:p>
            <w:r>
              <w:t>Endothelial cell</w:t>
            </w:r>
          </w:p>
        </w:tc>
        <w:tc>
          <w:tcPr>
            <w:tcW w:type="dxa" w:w="2351"/>
          </w:tcPr>
          <w:p>
            <w:r>
              <w:t>15.09</w:t>
            </w:r>
          </w:p>
        </w:tc>
        <w:tc>
          <w:tcPr>
            <w:tcW w:type="dxa" w:w="2351"/>
          </w:tcPr>
          <w:p>
            <w:r>
              <w:t>6.46</w:t>
            </w:r>
          </w:p>
        </w:tc>
        <w:tc>
          <w:tcPr>
            <w:tcW w:type="dxa" w:w="2351"/>
          </w:tcPr>
          <w:p>
            <w:r>
              <w:t>3</w:t>
            </w:r>
          </w:p>
        </w:tc>
      </w:tr>
      <w:tr>
        <w:tc>
          <w:tcPr>
            <w:tcW w:type="dxa" w:w="2351"/>
          </w:tcPr>
          <w:p>
            <w:r>
              <w:t>Memory B cell</w:t>
            </w:r>
          </w:p>
        </w:tc>
        <w:tc>
          <w:tcPr>
            <w:tcW w:type="dxa" w:w="2351"/>
          </w:tcPr>
          <w:p>
            <w:r>
              <w:t>16.83</w:t>
            </w:r>
          </w:p>
        </w:tc>
        <w:tc>
          <w:tcPr>
            <w:tcW w:type="dxa" w:w="2351"/>
          </w:tcPr>
          <w:p>
            <w:r>
              <w:t>—</w:t>
            </w:r>
          </w:p>
        </w:tc>
        <w:tc>
          <w:tcPr>
            <w:tcW w:type="dxa" w:w="2351"/>
          </w:tcPr>
          <w:p>
            <w:r>
              <w:t>1</w:t>
            </w:r>
          </w:p>
        </w:tc>
      </w:tr>
    </w:tbl>
    <w:p>
      <w:pPr>
        <w:spacing w:after="120"/>
      </w:pPr>
    </w:p>
    <w:p>
      <w:pPr>
        <w:spacing w:line="276" w:lineRule="auto" w:after="60"/>
        <w:ind w:firstLine="0"/>
      </w:pPr>
      <w:r>
        <w:rPr>
          <w:rFonts w:ascii="Arial" w:hAnsi="Arial"/>
          <w:b w:val="0"/>
          <w:i w:val="0"/>
          <w:color w:val="000000"/>
          <w:sz w:val="22"/>
        </w:rPr>
        <w:t>Among the 5,151 Tabula Sapiens cell-type pairs, 59 are same-cell-type cross-organ comparisons. These pairs allowed us to ask: which cell types maintain their transcriptional identity regardless of where they reside, and which are strongly shaped by their organ environment (Fig. 5; Table 2)?</w:t>
      </w:r>
    </w:p>
    <w:p>
      <w:pPr>
        <w:spacing w:line="276" w:lineRule="auto" w:after="60"/>
        <w:ind w:firstLine="0"/>
      </w:pPr>
      <w:r>
        <w:rPr>
          <w:rFonts w:ascii="Arial" w:hAnsi="Arial"/>
          <w:b w:val="0"/>
          <w:i w:val="0"/>
          <w:color w:val="000000"/>
          <w:sz w:val="22"/>
        </w:rPr>
        <w:t>The cross-organ ω ranking reveals a broad spectrum of conservation across 17 cell types (Table 2). B cells (mean ω = 2.70, n = 1) and Neutrophils (mean ω = 2.72, n = 6) were among the most conserved, followed by Smooth muscle cells (mean 6.29 ± —, n = 1) and Plasma cells (mean 6.61 ± 3.42, n = 6). Macrophages, the most abundant cell type in cross-organ comparisons (n = 15), showed intermediate conservation (mean 9.84 ± 6.31). At the divergent end of the spectrum, Endothelial cells (mean 15.09 ± 6.46, n = 3) and Memory B cells (mean 16.83 ± —, n = 1) were the most organ-specific cell types. Endothelial cells are known to express organ-specific gene programs tailored to local vascular needs (36). We note that several cell types in this ranking have very few cross-organ pairs (n = 1–3; e.g., Memory B cells n = 1, Smooth muscle n = 1), and their mean ω estimates are correspondingly unreliable. We recommend interpreting the ranking of cell types with n &lt; 5 as suggestive only, and prioritizing the relative ordering of well-sampled cell types (n ≥ 5) for biological conclusions.</w:t>
      </w:r>
    </w:p>
    <w:p>
      <w:pPr>
        <w:spacing w:line="276" w:lineRule="auto" w:after="6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Supplementary Table S2). This is because CKI explicitly normalizes: two cell populations might share similar highly expressed genes (yielding high Jaccard similarity), but if their neutral baseline k_n is low, even modest functional differences can produce a high ω. This normalization reveals patterns that raw expression similarity misses.</w:t>
      </w:r>
    </w:p>
    <w:p>
      <w:pPr>
        <w:pStyle w:val="Heading2"/>
        <w:spacing w:before="240" w:after="120"/>
      </w:pPr>
      <w:r>
        <w:rPr>
          <w:rFonts w:ascii="Arial" w:hAnsi="Arial"/>
          <w:color w:val="000000"/>
          <w:sz w:val="28"/>
          <w:b/>
        </w:rPr>
        <w:t>Brain regional analysis reveals cell-type differentiation gradients</w:t>
      </w:r>
    </w:p>
    <w:p>
      <w:pPr>
        <w:spacing w:line="276" w:lineRule="auto" w:after="60"/>
        <w:ind w:firstLine="0"/>
      </w:pPr>
      <w:r>
        <w:rPr>
          <w:rFonts w:ascii="Arial" w:hAnsi="Arial"/>
          <w:b w:val="0"/>
          <w:i w:val="0"/>
          <w:color w:val="000000"/>
          <w:sz w:val="22"/>
        </w:rPr>
        <w:t>We applied CKI to the Siletti et al. human brain single-nucleus RNA-seq atlas (9), which profiles ~3.3 million nuclei across 108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and computed CKI ω for all same-cell-type cross-region comparisons (31,764 pairs total) (Fig. 6).</w:t>
      </w:r>
    </w:p>
    <w:p>
      <w:pPr>
        <w:spacing w:line="276" w:lineRule="auto" w:after="60"/>
        <w:ind w:firstLine="0"/>
      </w:pPr>
      <w:r>
        <w:rPr>
          <w:rFonts w:ascii="Arial" w:hAnsi="Arial"/>
          <w:b w:val="0"/>
          <w:i w:val="0"/>
          <w:color w:val="000000"/>
          <w:sz w:val="22"/>
        </w:rPr>
        <w:t>The analysis revealed a pronounced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w:t>
      </w:r>
    </w:p>
    <w:p>
      <w:pPr>
        <w:spacing w:line="276" w:lineRule="auto" w:after="60"/>
        <w:ind w:firstLine="0"/>
      </w:pPr>
      <w:r>
        <w:rPr>
          <w:rFonts w:ascii="Arial" w:hAnsi="Arial"/>
          <w:b w:val="0"/>
          <w:i w:val="0"/>
          <w:color w:val="000000"/>
          <w:sz w:val="22"/>
        </w:rPr>
        <w:t>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 The grand mean ω across all 31,764 pairs (8.01) is lower than the astrocyte mean (14.36) because it is dominated by cell types with many pairs and low ω (e.g., fibroblasts n = 3,403 at 3.99, vascular cells n = 3,321 at 3.40); it is not a contradiction but a consequence of the skewed distribution of pair counts across cell types.</w:t>
      </w:r>
    </w:p>
    <w:p>
      <w:pPr>
        <w:spacing w:line="276" w:lineRule="auto" w:after="60"/>
        <w:ind w:firstLine="0"/>
      </w:pPr>
      <w:r>
        <w:rPr>
          <w:rFonts w:ascii="Arial" w:hAnsi="Arial"/>
          <w:b w:val="0"/>
          <w:i w:val="0"/>
          <w:color w:val="000000"/>
          <w:sz w:val="22"/>
        </w:rPr>
        <w:t>The cross-region ω gradient provides a computational framework for inferring cell migration history. Cell types that recently migrated to new regions or that continuously exchange between regions should show low inter-regional ω because insufficient time has elapsed for transcriptional drift and local adaptation to accumulate.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This approach complements lineage tracing and developmental studies by providing an orthogonal transcriptomic readout of migration history.</w:t>
      </w:r>
    </w:p>
    <w:p>
      <w:pPr>
        <w:pStyle w:val="Heading2"/>
        <w:spacing w:before="240" w:after="120"/>
      </w:pPr>
      <w:r>
        <w:rPr>
          <w:rFonts w:ascii="Arial" w:hAnsi="Arial"/>
          <w:color w:val="000000"/>
          <w:sz w:val="28"/>
          <w:b/>
        </w:rPr>
        <w:t>CKI detects developmental origin signatures across brain regions</w:t>
      </w:r>
    </w:p>
    <w:p>
      <w:pPr>
        <w:spacing w:line="276" w:lineRule="auto" w:after="60"/>
        <w:ind w:firstLine="0"/>
      </w:pPr>
      <w:r>
        <w:rPr>
          <w:rFonts w:ascii="Arial" w:hAnsi="Arial"/>
          <w:b w:val="0"/>
          <w:i w:val="0"/>
          <w:color w:val="000000"/>
          <w:sz w:val="22"/>
        </w:rPr>
        <w:t>Low CKI ω between a cell type across two brain regions indicates transcriptomic similarity beyond baseline expectation. We systematically cross-validated Strong candidate signals against the developmental neuroscience literature and identified four distinct biological mechanisms underlying low inter-regional ω: (i)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(iii) compartmentalized developmental specification—region-specific transcriptional programs during development produce persistent astrocyte and vascular identity differences; and (iv) postnatal cell migration—cells that physically relocate between regions through active motility. Mechanism assignment uses the multiplicative residual model to flag anomalous cell-type/region-pair combinations, with the biological interpretation corroborated by the known developmental biology of each cell type.</w:t>
      </w:r>
    </w:p>
    <w:p>
      <w:pPr>
        <w:spacing w:line="276" w:lineRule="auto" w:after="60"/>
        <w:ind w:firstLine="0"/>
      </w:pPr>
      <w:r>
        <w:rPr>
          <w:rFonts w:ascii="Arial" w:hAnsi="Arial"/>
          <w:b w:val="0"/>
          <w:i w:val="0"/>
          <w:color w:val="000000"/>
          <w:sz w:val="22"/>
        </w:rPr>
        <w:t>To formalize migration inference, we designed a multiplicative model: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Moderate (residual &lt; 0.5, ω &lt; 25), and Weak (residual &lt; 0.75, ω &lt; 35).</w:t>
      </w:r>
    </w:p>
    <w:p>
      <w:pPr>
        <w:spacing w:line="276" w:lineRule="auto" w:after="60"/>
        <w:ind w:firstLine="0"/>
      </w:pPr>
      <w:r>
        <w:rPr>
          <w:rFonts w:ascii="Arial" w:hAnsi="Arial"/>
          <w:b w:val="0"/>
          <w:i w:val="0"/>
          <w:color w:val="000000"/>
          <w:sz w:val="22"/>
        </w:rPr>
        <w:t>Among 31,764 cross-region comparisons, 30 (0.09%) were classified as Strong migration candidates: Astrocyte (6), fibroblast (1), microglia (10), oligodendrocyte (10), and vascular cells (3). Another 1,247 pairs (3.93%) were Moderate candidates, and 6,567 (20.67%) were Weak candidates. Permutation testing (B = 10,000) with EVT extrapolation to resolve P-value saturation (see Methods) revealed that 16 of 30 Strong signals reached statistical significance (BH-FDR &lt; 0.05, m = 30 Strong-tier candidates): all 6 astrocyte and all 10 oligodendrocyte signals were highly significant (EVT-extrapolated P &lt; 1.0 × 10⁻⁴), while none of the 10 microglia, 1 fibroblast, or 3 vascular signals reached significance (all P ≥ 0.76, q = 1.0). This indicates that the astrocyte and oligodendrocyte signals reflect robust biological patterns, whereas the microglia, fibroblast, and vascular signals may represent stochastic variation within the threshold criteria.</w:t>
      </w:r>
    </w:p>
    <w:p>
      <w:pPr>
        <w:pStyle w:val="Heading3"/>
        <w:spacing w:before="240" w:after="120"/>
      </w:pPr>
      <w:r>
        <w:rPr>
          <w:rFonts w:ascii="Arial" w:hAnsi="Arial"/>
          <w:color w:val="000000"/>
          <w:sz w:val="24"/>
          <w:b/>
        </w:rPr>
        <w:t>OPCs: negative control supports method specificity</w:t>
      </w:r>
    </w:p>
    <w:p>
      <w:pPr>
        <w:spacing w:line="276" w:lineRule="auto" w:after="60"/>
        <w:ind w:firstLine="0"/>
      </w:pPr>
      <w:r>
        <w:rPr>
          <w:rFonts w:ascii="Arial" w:hAnsi="Arial"/>
          <w:b w:val="0"/>
          <w:i w:val="0"/>
          <w:color w:val="000000"/>
          <w:sz w:val="22"/>
        </w:rPr>
        <w:t>Oligodendrocyte precursor cells (OPCs) are the most actively migrating cells in the adult CNS, continuously surveilling their environment along vascular scaffolds (13,17). Yet CKI detected 0 Strong signals among 5,671 OPC cross-region comparisons—a finding that provides a useful orthogonal validation of the multiplicative residual model. The model is not simply detecting high ω values or absolute transcriptional differences; it identifies cell-type/region-pair combinations where the observed functional divergence is substantially below what the cell type's global plasticity and the region pair's background divergence would jointly predict. OPCs have a high global mean ω (7.65) because their transcriptional program includes both progenitor and differentiation states; their 52 Moderate signals (residual &lt; 0.5) likely reflect the balance between shared developmental origins and ongoing regional maturation (35). The complete absence of Strong signals despite OPCs being the brain's most motile cell type demonstrates that the residual model differentiates between broad baseline motility and specific transcriptional signatures of developmental history.</w:t>
      </w:r>
    </w:p>
    <w:p>
      <w:pPr>
        <w:pStyle w:val="Heading3"/>
        <w:spacing w:before="240" w:after="120"/>
      </w:pPr>
      <w:r>
        <w:rPr>
          <w:rFonts w:ascii="Arial" w:hAnsi="Arial"/>
          <w:color w:val="000000"/>
          <w:sz w:val="24"/>
          <w:b/>
        </w:rPr>
        <w:t>Oligodendrocytes: developmental origin rather than migration</w:t>
      </w:r>
    </w:p>
    <w:p>
      <w:pPr>
        <w:spacing w:line="276" w:lineRule="auto" w:after="60"/>
        <w:ind w:firstLine="0"/>
      </w:pPr>
      <w:r>
        <w:rPr>
          <w:rFonts w:ascii="Arial" w:hAnsi="Arial"/>
          <w:b w:val="0"/>
          <w:i w:val="0"/>
          <w:color w:val="000000"/>
          <w:sz w:val="22"/>
        </w:rPr>
        <w:t>Mature oligodendrocytes contributed 10 Strong signals (residual 0.237–0.292), all of which reached statistical significance in permutation testing (EVT-extrapolated P &lt; 1.0 × 10⁻⁴, FDR &lt; 0.05). The prevailing view is that adult oligodendrocytes do not migrate between brain regions. We systematically cross-validated all 10 Strong pairs against the developmental neurobiology literature. Notably, all 10 signals involved cortex/thalamus (A13/A14/A19/A32/A40/Idg vs. Pul/LP) or brainstem-internal (MoRF-MoEN vs. PnRF) pairings—precisely the anatomical boundaries between dorsal- and ventral-derived oligodendrocyte populations. Foerster et al. (35)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reflect shared generic myelination programs rather than region-specific functional specialization. LP (lateral posterior nucleus) and Pul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distinguish dorsal and ventral oligodendrocyte populations without requiring lineage tracing.</w:t>
      </w:r>
    </w:p>
    <w:p>
      <w:pPr>
        <w:pStyle w:val="Heading3"/>
        <w:spacing w:before="240" w:after="120"/>
      </w:pPr>
      <w:r>
        <w:rPr>
          <w:rFonts w:ascii="Arial" w:hAnsi="Arial"/>
          <w:color w:val="000000"/>
          <w:sz w:val="24"/>
          <w:b/>
        </w:rPr>
        <w:t>Astrocytes: regional specialization with developmental origins</w:t>
      </w:r>
    </w:p>
    <w:p>
      <w:pPr>
        <w:spacing w:line="276" w:lineRule="auto" w:after="60"/>
        <w:ind w:firstLine="0"/>
      </w:pPr>
      <w:r>
        <w:rPr>
          <w:rFonts w:ascii="Arial" w:hAnsi="Arial"/>
          <w:b w:val="0"/>
          <w:i w:val="0"/>
          <w:color w:val="000000"/>
          <w:sz w:val="22"/>
        </w:rPr>
        <w:t>Astrocytes showed the highest global ω (14.36, 95% CI [14.14, 14.58]) yet contributed 6 Strong signals, all of which reached statistical significance (EVT-extrapolated P &lt; 1.0 × 10⁻⁴, FDR &lt; 0.05). These signals were concentrated in thalamic subnuclei (VLN-VPL, CM-VPL, Pul-VPL, LP-VPL-MN), hippocampal subfields (CA2-3 vs. DG-CA4), and cerebellar lobules (CBL vs. CBV).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Reeber et al. (41). Endo et al. (18) demonstrated that Tcf4 controls astrocyte allocation during cortical development; our results extend this principle to subcortical structures, showing that compartmentalized astrogenesis leaves persistent transcriptional signatures detectable by CKI across the entire brain.</w:t>
      </w:r>
    </w:p>
    <w:p>
      <w:pPr>
        <w:pStyle w:val="Heading3"/>
        <w:spacing w:before="240" w:after="120"/>
      </w:pPr>
      <w:r>
        <w:rPr>
          <w:rFonts w:ascii="Arial" w:hAnsi="Arial"/>
          <w:color w:val="000000"/>
          <w:sz w:val="24"/>
          <w:b/>
        </w:rPr>
        <w:t>Bergmann glia: cerebellar molecular topography</w:t>
      </w:r>
    </w:p>
    <w:p>
      <w:pPr>
        <w:spacing w:line="276" w:lineRule="auto" w:after="60"/>
        <w:ind w:firstLine="0"/>
      </w:pPr>
      <w:r>
        <w:rPr>
          <w:rFonts w:ascii="Arial" w:hAnsi="Arial"/>
          <w:b w:val="0"/>
          <w:i w:val="0"/>
          <w:color w:val="000000"/>
          <w:sz w:val="22"/>
        </w:rPr>
        <w:t>Bergmann glia had the lowest global ω (2.37) and only one Strong signal (CBL vs. CBV, residual = 0.274), consistent with their developmentally fixed, transcriptionally constrained state in the adult cerebellum (19). Bergmann glia are patterned into topographic molecular zones that align with cerebellar functional compartments (41), and their low global ω reflects their specialized role in maintaining Purkinje cell layer architecture with minimal regional transcriptional variation. The CBL (cerebellar lobule) vs. CBV (cerebellar vermis) signal likely reflects the established molecular topography difference between lateral cerebellar hemispheres and the midline vermis, rather than any migratory event.</w:t>
      </w:r>
    </w:p>
    <w:p>
      <w:pPr>
        <w:pStyle w:val="Heading3"/>
        <w:spacing w:before="240" w:after="120"/>
      </w:pPr>
      <w:r>
        <w:rPr>
          <w:rFonts w:ascii="Arial" w:hAnsi="Arial"/>
          <w:color w:val="000000"/>
          <w:sz w:val="24"/>
          <w:b/>
        </w:rPr>
        <w:t>Microglia: developmental colonization wave boundaries</w:t>
      </w:r>
    </w:p>
    <w:p>
      <w:pPr>
        <w:spacing w:line="276" w:lineRule="auto" w:after="60"/>
        <w:ind w:firstLine="0"/>
      </w:pPr>
      <w:r>
        <w:rPr>
          <w:rFonts w:ascii="Arial" w:hAnsi="Arial"/>
          <w:b w:val="0"/>
          <w:i w:val="0"/>
          <w:color w:val="000000"/>
          <w:sz w:val="22"/>
        </w:rPr>
        <w:t>Microglia contributed 10 Strong signals by the threshold criteria; however, permutation testing revealed that none reached statistical significance (all P ≥ 0.76, q = 1.0). This indicates that microglial regional ω values, while occasionally falling below the multiplicative model's expectation, do not depart from expectation more than would be expected from random label assignment. We therefore present the following biological interpretation as an exploratory hypothesis rather than a statistically supported finding. Shemer and Jung (37) comprehensively reviewed the molecular determinants of microglial developmental colonization, identifying three major invasion routes: the pial surface, the ventricular zone, and the vasculature. Colonization proceeds in a rostral-to-caudal wave, with forebrain regions colonized earlier than midbrain and hindbrain structures (20). Barry-Carroll et al. (40) demonstrated that microglial colonization occurs through clonal expansion of highly proliferative precursors, with spatial constraints limiting clone mixing between regions. If the observed microglia Strong signals reflect genuine biological structure, they would systematically trace this rostral-to-caudal colonization gradient: 7 of 10 signals involve cortex (A5-A7, A14, A23, A29-A30) paired with midbrain/pontine structures (IC, DTg, PnAN, PnEN, MoRF-MoEN). The inferior colliculus (IC) appears in 4 of 10 pairs and could represent a contact zone where forebrain-derived and hindbrain-derived colonization waves meet. However, given the lack of statistical significance, these patterns may reflect stochastic variation in the high-dimensional ω landscape rather than reproducible biological signals. Validation through independent datasets or lineage tracing experiments would be required to confirm these colonization boundary hypotheses.</w:t>
      </w:r>
    </w:p>
    <w:p>
      <w:pPr>
        <w:pStyle w:val="Heading3"/>
        <w:spacing w:before="240" w:after="120"/>
      </w:pPr>
      <w:r>
        <w:rPr>
          <w:rFonts w:ascii="Arial" w:hAnsi="Arial"/>
          <w:color w:val="000000"/>
          <w:sz w:val="24"/>
          <w:b/>
        </w:rPr>
        <w:t>Vascular cells: blood-brain barrier regional identity</w:t>
      </w:r>
    </w:p>
    <w:p>
      <w:pPr>
        <w:spacing w:line="276" w:lineRule="auto" w:after="60"/>
        <w:ind w:firstLine="0"/>
      </w:pPr>
      <w:r>
        <w:rPr>
          <w:rFonts w:ascii="Arial" w:hAnsi="Arial"/>
          <w:b w:val="0"/>
          <w:i w:val="0"/>
          <w:color w:val="000000"/>
          <w:sz w:val="22"/>
        </w:rPr>
        <w:t>Vascular cells contributed 3 Strong signals by threshold criteria, all involving ITG (inferior temporal gyrus, cortical) paired with brainstem structures (PB, PnRF, SN). However, none reached statistical significance in permutation testing (all P = 1.0, q = 1.0). Adult brain endothelial cells have a proliferation rate of ~0.4% and form a physically continuous network, making active migration an unlikely explanation. Schaffenrath et al. (39) systematically characterized blood-brain barrier (BBB) heterogeneity across brain regions, identifying hundreds of region-specific molecular differences in endothelial cells, pericytes, and vascular smooth muscle cells. These differences are established during development through region-specific transcription factors (Foxf2, Foxq1, Barhl2) that sculpt the BBB in response to local neuronal and glial signals. The low inter-regional ω values (1.75–1.80) indicate that the core vascular transcriptional program is highly conserved, with functional divergence detectable only as modest deviations from the global vascular ω baseline. However, the lack of statistical significance suggests that these signals may reflect the inherently low variance of vascular ω rather than specific developmental boundary effects.</w:t>
      </w:r>
    </w:p>
    <w:p>
      <w:pPr>
        <w:pStyle w:val="Heading3"/>
        <w:spacing w:before="240" w:after="120"/>
      </w:pPr>
      <w:r>
        <w:rPr>
          <w:rFonts w:ascii="Arial" w:hAnsi="Arial"/>
          <w:color w:val="000000"/>
          <w:sz w:val="24"/>
          <w:b/>
        </w:rPr>
        <w:t>Fibroblast: exploratory postnatal migration signal</w:t>
      </w:r>
    </w:p>
    <w:p>
      <w:pPr>
        <w:spacing w:line="276" w:lineRule="auto" w:after="60"/>
        <w:ind w:firstLine="0"/>
      </w:pPr>
      <w:r>
        <w:rPr>
          <w:rFonts w:ascii="Arial" w:hAnsi="Arial"/>
          <w:b w:val="0"/>
          <w:i w:val="0"/>
          <w:color w:val="000000"/>
          <w:sz w:val="22"/>
        </w:rPr>
        <w:t>Perivascular fibroblasts contributed 1 Strong signal by threshold criteria (A40 vs. SN, residual = 0.299), but this signal did not reach statistical significance (P = 1.0, q = 1.0). Jones et al. (38) demonstrated that brain perivascular fibroblasts originate from the meninges and migrate along penetrating vessels into the brain parenchyma during postnatal development. This migration is active, coordinated with perivascular macrophage colonization, and establishes a population of fibroblasts in the Virchow-Robin spaces that persists in adulthood. If the A40 (prefrontal cortex) vs. SN (substantia nigra) signal reflects genuine biology, it could represent fibroblasts that entered these anatomically distant regions along different branches of the cerebral vasculature from a shared meningeal origin. However, the lack of statistical significance, combined with the small fibroblast population (8,156 nuclei across 83 regions), means this signal should be considered exploratory. The detection of threshold-passing but non-significant signals from sparse populations highlights the importance of permutation-based validation for the multiplicative residual model.</w:t>
      </w:r>
    </w:p>
    <w:p>
      <w:pPr>
        <w:pStyle w:val="Heading1"/>
        <w:spacing w:before="240" w:after="120"/>
      </w:pPr>
      <w:r>
        <w:rPr>
          <w:rFonts w:ascii="Arial" w:hAnsi="Arial"/>
          <w:color w:val="000000"/>
          <w:sz w:val="32"/>
          <w:b/>
        </w:rPr>
        <w:t>Discussion</w:t>
      </w:r>
    </w:p>
    <w:p>
      <w:pPr>
        <w:spacing w:line="276" w:lineRule="auto" w:after="60"/>
        <w:ind w:firstLine="0"/>
      </w:pPr>
      <w:r>
        <w:rPr>
          <w:rFonts w:ascii="Arial" w:hAnsi="Arial"/>
          <w:b w:val="0"/>
          <w:i w:val="0"/>
          <w:color w:val="000000"/>
          <w:sz w:val="22"/>
        </w:rPr>
        <w:t>CKI introduces a conceptual shift in transcriptomic comparison: from measuring absolute distance to quantifying functional divergence relative to an internal baseline. The key insight is that housekeeping genes provide a built-in baseline reference: HK genes are under stabilizing selection that constrains their expression variance across conditions, making them a practical constrained baseline against which functional divergence can be measured. This strategy is heuristically inspired by the use of synonymous sites as a baseline in Ka/Ks analysis, This decomposition lets us ask not just "how different are these two populations?" but "how much of that difference is functionally informative versus baseline?" Importantly, CKI is a heuristic index, not a formal measure of Darwinian selection. Unlike Ka/Ks—where a shared mutation rate (μ) cancels mathematically in the ratio, leaving a pure selection signal—CKI lacks an analogous cancellation mechanism. Its ω = 1 does not carry population-genetic meaning of neutrality. The empirical calibration experiment (split-half equivalent populations, n = 6) yielded a mean ω = 6.67, demonstrating that k_f systematically exceeds k_n even for identical populations due to HVG gene selection. We use ω ≪ calibration and ω ≫ calibration as operational anchors for functional constraint and enhanced divergence, respectively, not as claims about Darwinian selection regimes.</w:t>
      </w:r>
    </w:p>
    <w:p>
      <w:pPr>
        <w:spacing w:line="276" w:lineRule="auto" w:after="6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indicates that CKI captures information that existing approaches miss.</w:t>
      </w:r>
    </w:p>
    <w:p>
      <w:pPr>
        <w:spacing w:line="276" w:lineRule="auto" w:after="60"/>
        <w:ind w:firstLine="0"/>
      </w:pPr>
      <w:r>
        <w:rPr>
          <w:rFonts w:ascii="Arial" w:hAnsi="Arial"/>
          <w:b w:val="0"/>
          <w:i w:val="0"/>
          <w:color w:val="000000"/>
          <w:sz w:val="22"/>
        </w:rPr>
        <w:t>The Ka/Ks analogy is heuristically productive but has important technical limitations that distinguish CKI from formal molecular evolution models. First, Ka/Ks operates on DNA sequence alignments with explicit codon models (21); CKI operates on continuous expression vectors without an evolutionary substitution model. Second, the baseline reference in Ka/Ks has a mechanistic basis in the genetic code (synonymous sites are neutral because they do not alter the protein), whereas HK genes are defined empirically by data-driven criteria (high detection rate, low coefficient of variation) and lack a comparable mechanistic argument for neutrality. HK genes may be subject to stabilizing selection on expression levels, and their expression variance could in principle reflect regulatory constraints rather than pure neutral drift. We partly address this through sensitivity analysis showing that CKI results are robust to alternative HK definitions (using the lowest 10% variable genes as a neutral set yielded ω correlations r &gt; 0.95), and by noting that HK genes are specifically selected for low variance across conditions, providing a practical (though not mechanistic) constrained baseline for measuring functional divergence. Nevertheless, the absence of a formal neutral model means that ω values should be interpreted as relative measures of functional divergence, not as direct estimates of selection strength. Third, CKI currently lacks a formal phylogenetic framework analogous to Ornstein-Uhlenbeck models that dominate expression evolution analysis. Integrating CKI’s baseline-normalized decomposition with OU-based selection strength estimation is a promising direction for future theoretical development. Fourth, CKI ω is computed on different gene sets per comparison (pairwise DE genes for k_f), which limits cross-comparison absolute interpretability; users should compare ω ranks rather than absolute values across datasets. Despite these caveats, CKI’s heuristic framework provides a practical tool for identifying functionally informative transcriptomic divergence that standard metrics systematically miss.</w:t>
      </w:r>
    </w:p>
    <w:p>
      <w:pPr>
        <w:spacing w:line="276" w:lineRule="auto" w:after="60"/>
        <w:ind w:firstLine="0"/>
      </w:pPr>
      <w:r>
        <w:rPr>
          <w:rFonts w:ascii="Arial" w:hAnsi="Arial"/>
          <w:b w:val="0"/>
          <w:i w:val="0"/>
          <w:color w:val="000000"/>
          <w:sz w:val="22"/>
        </w:rPr>
        <w:t>CKI complements rather than replaces existing methods. SAMap (15) and SATURN (3) excel at cross-species alignment; CACIMAR (22)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60"/>
        <w:ind w:firstLine="0"/>
      </w:pPr>
      <w:r>
        <w:rPr>
          <w:rFonts w:ascii="Arial" w:hAnsi="Arial"/>
          <w:b w:val="0"/>
          <w:i w:val="0"/>
          <w:color w:val="000000"/>
          <w:sz w:val="22"/>
        </w:rPr>
        <w:t>The TCGA finding that tumors are more transcriptionally homogeneous than normal tissues (median NN/TT &gt; 1.0) is an exploratory observation that requires cautious interpretation. At bulk RNA-seq resolution, the apparent convergence could be driven by shared cell-composition shifts (tumor purity, stromal and immune infiltration), peritumoral inflammation, or systematic RNA quality differences, rather than by genuine transcriptional convergence of tumor cells. If the signal is real, it may point to common vulnerabilities across genetically diverse tumors; the PAM50 gradient (aggressive subtypes show lower ω, consistent with proliferation programs overriding tissue-specific expression) is suggestive but cannot rule out the proliferation-confound explanation. Single-cell or deconvolution-based validation would be needed to disentangle these alternatives.</w:t>
      </w:r>
    </w:p>
    <w:p>
      <w:pPr>
        <w:spacing w:line="276" w:lineRule="auto" w:after="60"/>
        <w:ind w:firstLine="0"/>
      </w:pPr>
      <w:r>
        <w:rPr>
          <w:rFonts w:ascii="Arial" w:hAnsi="Arial"/>
          <w:b w:val="0"/>
          <w:i w:val="0"/>
          <w:color w:val="000000"/>
          <w:sz w:val="22"/>
        </w:rP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The multiplicative residual model detected 30 Strong candidate signals by threshold criteria; permutation testing (B = 10,000, EVT-extrapolated) with BH-FDR correction within the Strong tier (m = 30) confirmed that 16 of these reached statistical significance (FDR &lt; 0.05). The 16 significant signals were exclusively from astrocytes (6/6) and oligodendrocytes (10/10), both reflecting developmental origin signatures: oligodendrocyte dorsal/ventral origin differences (35) explain all 10 oligodendrocyte Strong signals as cortex vs. thalamus/brainstem boundaries, while compartmentalized astrogenesis (18) explains the astrocyte thalamic and cerebellar signals. In contrast, 10 microglia, 1 fibroblast, and 3 vascular threshold-passing signals did not reach statistical significance (all P ≥ 0.76), suggesting they may reflect stochastic variation rather than robust biological patterns. Importantly, OPCs—the most actively migrating cells in the adult CNS (13,17)—yielded 0 Strong signals among 5,671 comparisons, providing a notable orthogonal validation that the residual model specifically detects fixed developmental signatures rather than ongoing cell motility. These results demonstrate that CKI detects persistent transcriptional signatures of developmental history—origin and specification—embedded in adult transcriptomic data, and that permutation-based validation is essential for distinguishing robust biological signals from threshold-passing noise. Preliminary cross-species validation (Supplementary Fig. S2) showed that ω rankings are moderately conserved between mouse and human for shared cell types, though absolute ω values differ due to different computation schemes (per-pair for mouse, hybrid for human).</w:t>
      </w:r>
    </w:p>
    <w:p>
      <w:pPr>
        <w:spacing w:line="276" w:lineRule="auto" w:after="60"/>
        <w:ind w:firstLine="0"/>
      </w:pPr>
      <w:r>
        <w:rPr>
          <w:rFonts w:ascii="Arial" w:hAnsi="Arial"/>
          <w:b w:val="0"/>
          <w:i w:val="0"/>
          <w:color w:val="000000"/>
          <w:sz w:val="22"/>
        </w:rPr>
        <w:t>Limitations should be noted. First, CKI currently operates at the pseudobulk level; single-cell extensions would need to address sparsity and dropout. Second, the choice of HK gene set influences results; CKI uses the HRT Atlas v1.0 reference (4) as the HK gene source for all reported analyses. The CKI package also supports data-driven auto-detection (combined detection-rate and CV filtering, use_reference = False) as the universal default, but this was not used in the reported analyses. Sensitivity analysis showed that CKI results are robust to alternative HK definitions (using the lowest 10% variable genes as a neutral set yielded ω correlations r &gt; 0.95). Third, the use of highly variable genes (HVGs) for k_f introduces systematic inflation: the calibration controls (random split of the same population) yielded a mean ω = 6.67, demonstrating that k_f systematically exceeds k_n even for identical populations. This inflation is a direct consequence of pre-selecting genes with high cross-cell variance. The permutation test accounts for this by comparing observed ω against a null distribution constructed under the same gene selection procedure with randomly permuted labels. Fourth, TCGA analysis was limited to bulk RNA-seq resolution; the per-cancer bootstrap (B = 1,000) permutes sample labels (tumor vs. normal) to construct the null distribution. With 5 cancer types, TCGA results should be interpreted as exploratory. Fifth, the brain analysis uses post-mortem tissue; developmental time courses would provide stronger evidence for migration inference. Sixth, the brain regional analysis generated 31,764 cross-region comparisons. Benjamini-Hochberg FDR correction was applied within each dataset separately (bootstrap: m = 10 for brain, 17 for human, 15 for mouse; residual model: m = 30 for Strong tier, EVT-extrapolated). The 30 Strong candidates from the multiplicative residual model represent the most extreme deviations from the expected log-linear relationship between regional divergence and physical distance; they should be interpreted as hypothesis-generating signals requiring independent validation. The systematic concordance with known developmental biology provides post hoc biological plausibility, but formal FDR-controlled discovery would require larger cohorts and pre-registered hypotheses. Seventh, the ω distribution is right-skewed and non-normal across all datasets (brain skewness = 2.22, excess kurtosis = 7.28; Shapiro-Wilk and D’Agostino-Pearson tests reject normality at P &lt; 0.001). Consequently, Cohen’s d is reported as a descriptive measure of effect size rather than a parametric test statistic. Eighth, permutation testing of the residual model (B = 10,000 per-signal empirical P-values, Benjamini-Hochberg FDR across all 31,764 pairs) revealed that 14 of 30 Strong threshold-passing signals—comprising all 10 microglia, 1 fibroblast, and 3 vascular signals—did not reach statistical significance (all P ≥ 0.76, q = 1.0). These signals should be interpreted with caution as they may reflect stochastic variation rather than robust biological patterns. Ninth, bootstrap 95% confidence intervals (B = 10,000, pair-level resampling) were computed for all key ω estimates; confidence interval widths scale inversely with the number of contributing pairs, such that cell types with fewer regional comparisons (e.g., Bergmann glia, 21 pairs) yield wider intervals than well-sampled types (e.g., astrocytes, 5,778 pairs). Tenth, the empirical calibration baseline (ω = 6.67) is derived from only n = 6 split-half controls in a single species (mouse); while calibrated omega (ω_cal = ω / 6.67) restores the interpretability of the ratio framework, the baseline may vary across tissues, species, and sequencing platforms, and a larger multi-dataset calibration study would strengthen the generality of this constant. Eleventh, k_n and k_f are computed on gene sets of different sizes (~1,130 HK genes vs. 200–2,000 HVG genes); while simulation confirmed that JS divergence between random distributions is dimensionally invariant (ratio = 1.001 between d = 1,130 and d = 2,000; Supplementary Fig. S10), the systematic inflation of k_f arises from HVG selection bias rather than dimensionality, and the calibrated omega absorbs this bias. Twelfth, the hybrid scheme used for human and TCGA analyses computes k_n globally (constant across all pairs), which reduces ω to a scaled k_f ranking; per-pair k_n analysis in the brain data (CV = 97.35%) showed that pair-specific k_n varies substantially and yields substantially different ω rankings (Spearman ρ = −0.027 vs. global-kn ω), confirming that the per-pair approach used for brain analysis is more informative but also more computationally expensive. Thirteenth, BH-FDR correction is applied separately within each dataset (mouse, human, TCGA, brain), which means that significance thresholds are not directly comparable across datasets; cross-dataset meta-analysis would require a unified multiple-testing framework. Fourteenth, CKI has not been validated on synthetic data with known ground-truth selection signals; while the calibration controls and OPC negative control provide internal consistency checks, a simulation benchmark with injected functional divergence of known magnitude would provide stronger evidence for the method’s sensitivity and specificity. Fifteenth, key parameters (softmax temperature, pseudocount ε = 1e-9, top-200 DE genes for k_f, HVG count of 2,000, log-base 2 for JS divergence) were chosen based on practical considerations rather than formal optimization; while sensitivity analyses showed robustness to parameter variation, a systematic parameter sweep across all parameters simultaneously was not performed.</w:t>
      </w:r>
    </w:p>
    <w:p>
      <w:pPr>
        <w:spacing w:line="276" w:lineRule="auto" w:after="6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neutral vs. functional transcriptional drift), and evolutionary cell biology (quantifying conservation and divergence of cell-type programs across the tree of life). The CKI Python package (v0.3.1) and all analysis notebooks are available at https://github.com/zhanglknt/CKI-cell-type-identification under the MIT License.</w:t>
      </w:r>
    </w:p>
    <w:p>
      <w:pPr>
        <w:pStyle w:val="Heading1"/>
        <w:spacing w:before="240" w:after="120"/>
      </w:pPr>
      <w:r>
        <w:rPr>
          <w:rFonts w:ascii="Arial" w:hAnsi="Arial"/>
          <w:color w:val="000000"/>
          <w:sz w:val="32"/>
          <w:b/>
        </w:rPr>
        <w:t>Data availability</w:t>
      </w:r>
    </w:p>
    <w:p>
      <w:pPr>
        <w:spacing w:line="276" w:lineRule="auto" w:after="60"/>
        <w:ind w:firstLine="0"/>
      </w:pPr>
      <w:r>
        <w:rPr>
          <w:rFonts w:ascii="Arial" w:hAnsi="Arial"/>
          <w:b w:val="0"/>
          <w:i w:val="0"/>
          <w:color w:val="000000"/>
          <w:sz w:val="22"/>
        </w:rPr>
        <w:t>Tabula Muris data: GEO accession GSE109774. Tabula Sapiens data: CZ CELLxGENE Discover (https://cellxgene.cziscience.com/) (33). TCGA data: NCI Genomic Data Commons (https://portal.gdc.cancer.gov/). HRT Atlas (optional human/mouse HK reference): https://www.housekeeping.unicamp.br. Human brain atlas: CZ CELLxGENE Discover (collection ID as referenced in (9)). PAM50 centroids: from Parker et al. (11). MSigDB Hallmark gene sets: from Liberzon et al. (34). The CKI source code (v0.3.1, MIT License) is publicly available at https://github.com/zhanglknt/CKI-cell-type-identification (tag v0.3.1). A permanent archival copy has been deposited at Zenodo (DOI: 10.5281/zenodo.15670808). All analysis notebooks and processed data matrices are included in the Supplementary Data.</w:t>
      </w:r>
    </w:p>
    <w:p>
      <w:pPr>
        <w:pStyle w:val="Heading1"/>
        <w:spacing w:before="240" w:after="120"/>
      </w:pPr>
      <w:r>
        <w:rPr>
          <w:rFonts w:ascii="Arial" w:hAnsi="Arial"/>
          <w:color w:val="000000"/>
          <w:sz w:val="32"/>
          <w:b/>
        </w:rPr>
        <w:t>Supplementary Data</w:t>
      </w:r>
    </w:p>
    <w:p>
      <w:pPr>
        <w:spacing w:line="276" w:lineRule="auto" w:after="60"/>
        <w:ind w:firstLine="0"/>
      </w:pPr>
      <w:r>
        <w:rPr>
          <w:rFonts w:ascii="Arial" w:hAnsi="Arial"/>
          <w:b w:val="0"/>
          <w:i w:val="0"/>
          <w:color w:val="000000"/>
          <w:sz w:val="22"/>
        </w:rPr>
        <w:t>Supplementary Data are available at NAR Online.</w:t>
      </w:r>
    </w:p>
    <w:p>
      <w:pPr>
        <w:pStyle w:val="Heading1"/>
        <w:spacing w:before="240" w:after="120"/>
      </w:pPr>
      <w:r>
        <w:rPr>
          <w:rFonts w:ascii="Arial" w:hAnsi="Arial"/>
          <w:color w:val="000000"/>
          <w:sz w:val="32"/>
          <w:b/>
        </w:rPr>
        <w:t>Acknowledgements</w:t>
      </w:r>
    </w:p>
    <w:p>
      <w:pPr>
        <w:spacing w:line="276" w:lineRule="auto" w:after="6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w:t>
      </w:r>
    </w:p>
    <w:p>
      <w:pPr>
        <w:pStyle w:val="Heading1"/>
        <w:spacing w:before="240" w:after="120"/>
      </w:pPr>
      <w:r>
        <w:rPr>
          <w:rFonts w:ascii="Arial" w:hAnsi="Arial"/>
          <w:color w:val="000000"/>
          <w:sz w:val="32"/>
          <w:b/>
        </w:rPr>
        <w:t>Author contributions</w:t>
      </w:r>
    </w:p>
    <w:p>
      <w:pPr>
        <w:spacing w:line="276" w:lineRule="auto" w:after="60"/>
        <w:ind w:firstLine="0"/>
      </w:pPr>
      <w:r>
        <w:rPr>
          <w:rFonts w:ascii="Arial" w:hAnsi="Arial"/>
          <w:b w:val="0"/>
          <w:i w:val="0"/>
          <w:color w:val="000000"/>
          <w:sz w:val="22"/>
        </w:rP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pPr>
        <w:pStyle w:val="Heading1"/>
        <w:spacing w:before="240" w:after="120"/>
      </w:pPr>
      <w:r>
        <w:rPr>
          <w:rFonts w:ascii="Arial" w:hAnsi="Arial"/>
          <w:color w:val="000000"/>
          <w:sz w:val="32"/>
          <w:b/>
        </w:rPr>
        <w:t>Funding</w:t>
      </w:r>
    </w:p>
    <w:p>
      <w:pPr>
        <w:spacing w:line="276" w:lineRule="auto" w:after="60"/>
        <w:ind w:firstLine="0"/>
      </w:pPr>
      <w:r>
        <w:rPr>
          <w:rFonts w:ascii="Arial" w:hAnsi="Arial"/>
          <w:b w:val="0"/>
          <w:i w:val="0"/>
          <w:color w:val="000000"/>
          <w:sz w:val="22"/>
        </w:rPr>
        <w:t>This work was supported by the National Natural Science Foundation of China (NSFC) under grant number 32370682, and the Prevention and Control of Emerging and Major Infectious Diseases — National Science and Technology Major Project (grant number 2026ZD01910500).</w:t>
      </w:r>
    </w:p>
    <w:p>
      <w:pPr>
        <w:pStyle w:val="Heading1"/>
        <w:spacing w:before="240" w:after="120"/>
      </w:pPr>
      <w:r>
        <w:rPr>
          <w:rFonts w:ascii="Arial" w:hAnsi="Arial"/>
          <w:color w:val="000000"/>
          <w:sz w:val="32"/>
          <w:b/>
        </w:rPr>
        <w:t>Conflict of interest</w:t>
      </w:r>
    </w:p>
    <w:p>
      <w:pPr>
        <w:spacing w:line="276" w:lineRule="auto" w:after="60"/>
        <w:ind w:firstLine="0"/>
      </w:pPr>
      <w:r>
        <w:rPr>
          <w:rFonts w:ascii="Arial" w:hAnsi="Arial"/>
          <w:b w:val="0"/>
          <w:i w:val="0"/>
          <w:color w:val="000000"/>
          <w:sz w:val="22"/>
        </w:rPr>
        <w:t>The authors declare no competing interests.</w:t>
      </w:r>
    </w:p>
    <w:p>
      <w:pPr>
        <w:pStyle w:val="Heading1"/>
        <w:spacing w:before="240" w:after="120"/>
      </w:pPr>
      <w:r>
        <w:rPr>
          <w:rFonts w:ascii="Arial" w:hAnsi="Arial"/>
          <w:color w:val="000000"/>
          <w:sz w:val="32"/>
          <w:b/>
        </w:rPr>
        <w:t>Figure legends</w:t>
      </w:r>
    </w:p>
    <w:p>
      <w:pPr>
        <w:spacing w:line="276" w:lineRule="auto" w:after="6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CKI uses housekeeping gene divergence for k_n and identity gene divergence for k_f; ω = k_f/k_n &gt; 1 indicates selective transcriptomic remodeling. (B) Computational pipeline: raw count matrix → pseudobulk → JS divergence on HK genes (k_n) and identity genes (k_f) → ω = k_f/k_n. (C) Bootstrap ω distribution (B = 1,000 permutations, mouse pilot) with median indicated by dashed line. (D) Scatter plot of k_n vs. k_f, showing that functional variation dominates neutral baseline. (E) ω distribution with ω = 1 (neutral) marked by dashed line.</w:t>
      </w:r>
    </w:p>
    <w:p>
      <w:pPr>
        <w:spacing w:line="276" w:lineRule="auto" w:after="6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confirming neutral baseline behavior. (B) Component decomposition of k_n and k_f across four comparison categories: C (same cell type), S (same sub-organ), D (different cell type within same organ), and X (cross-organ). k_f increases monotonically with biological distance, while k_n remains relatively constrained. (C) Spearman correlation between CKI ω and four standard metrics (Cosine, Raw JS, Marker Jaccard, Spearman) on Tabula Muris data. All show negative correlation, confirming ω captures orthogonal information. (D) Pathway enrichment in the k_f component, showing fold change (k_f/k_n) for top enriched pathways. Stars indicate significance: *** P &lt; 0.001, ** P &lt; 0.01, * P &lt; 0.05.</w:t>
      </w:r>
    </w:p>
    <w:p>
      <w:pPr>
        <w:spacing w:line="276" w:lineRule="auto" w:after="60"/>
        <w:ind w:firstLine="0"/>
      </w:pPr>
      <w:r>
        <w:rPr>
          <w:rFonts w:ascii="Arial" w:hAnsi="Arial"/>
          <w:b w:val="0"/>
          <w:i w:val="0"/>
          <w:color w:val="000000"/>
          <w:sz w:val="22"/>
        </w:rPr>
        <w:t>Figure 3. CKI captures independent information. (A) Spearman correlation heatmap of five metrics on n = 5,151 Tabula Sapiens pairs. CKI ω is negatively correlated with all four standard metrics. Standard metrics form a positive cluster. (B) Scatter plot of CKI ω vs. k_n (neutral rate) on Tabula Sapiens data (n = 5,151 pairs), colored by same-organ vs. cross-organ pairs, with Spearman r. (C) ROC curves for cell-type classification across five metrics on Tabula Sapiens data. (D) ω by comparison category: C (same cell type), S (same sub-organ), D (different cell type, same organ), X (cross-organ). Box plots show log10(ω) distribution. (E) AUC (cell-type classification) vs. interpretability (decomposability) comparison across five metrics. CKI ω has lower AUC than cosine and raw JS divergence but is the only fully decomposable metric into neutral (k_n) and functional (k_f) components.</w:t>
      </w:r>
    </w:p>
    <w:p>
      <w:pPr>
        <w:spacing w:line="276" w:lineRule="auto" w:after="60"/>
        <w:ind w:firstLine="0"/>
      </w:pPr>
      <w:r>
        <w:rPr>
          <w:rFonts w:ascii="Arial" w:hAnsi="Arial"/>
          <w:b w:val="0"/>
          <w:i w:val="0"/>
          <w:color w:val="000000"/>
          <w:sz w:val="22"/>
        </w:rPr>
        <w:t>Figure 4. TCGA pan-cancer perturbation analysis. (A) Median NN/TT ω ratio across five cancer types. NN &gt; TT in all cancers (all ratios &gt; 1.0), indicating that normal individuals differ more from each other than tumors differ from each other. (B) ω distributions for normal-normal (NN) vs. tumor-tumor (TT) comparisons per cancer type. (C) Median TN/NN ω ratio (tumor-normal vs. normal-normal) across five cancer types. (D) Bootstrap Cohen's d effect sizes for NN vs. TT comparisons per cancer type. (E) Tissue-level pairwise ω matrix heatmap across five cancer types.</w:t>
      </w:r>
    </w:p>
    <w:p>
      <w:pPr>
        <w:spacing w:line="276" w:lineRule="auto" w:after="60"/>
        <w:ind w:firstLine="0"/>
      </w:pPr>
      <w:r>
        <w:rPr>
          <w:rFonts w:ascii="Arial" w:hAnsi="Arial"/>
          <w:b w:val="0"/>
          <w:i w:val="0"/>
          <w:color w:val="000000"/>
          <w:sz w:val="22"/>
        </w:rPr>
        <w:t>Figure 5. Cross-organ cell-type conservation. (A) CKI ω ranking of 17 cell types with cross-organ comparisons (n = 59 pairs) within the Tabula Sapiens human atlas. Immune cells (macrophage, T cells) rank lowest; structural cells (erythrocyte, endothelial) rank highest. (B) ω distribution across all cell-type pairs, showing conserved vs. variable cell types. (C) Cross-organ ω gradient (mean ± SD) showing systematic variation across organ pairs. (D) Table of top conservative cell-type pairs with the lowest cross-organ ω values.</w:t>
      </w:r>
    </w:p>
    <w:p>
      <w:pPr>
        <w:spacing w:line="276" w:lineRule="auto" w:after="60"/>
        <w:ind w:firstLine="0"/>
      </w:pPr>
      <w:r>
        <w:rPr>
          <w:rFonts w:ascii="Arial" w:hAnsi="Arial"/>
          <w:b w:val="0"/>
          <w:i w:val="0"/>
          <w:color w:val="000000"/>
          <w:sz w:val="22"/>
        </w:rPr>
        <w:t>Figure 6. Brain regional cell-type differentiation and migration inference. (A) Brain region map schematic showing anatomical regions analyzed in the Siletti et al. atlas. (B) ω gradient across 10 non-neuronal cell classes. Bergmann glia (mean ω = 2.37) shows the lowest regional divergence; astrocytes (mean ω = 14.36) show the highest (6.06-fold gradient). Box plots: center line, median; box, IQR; whiskers, 1.5× IQR. (C) Astrocyte ω across brain regions, with hierarchical clustering. Cortex regions cluster together, as do thalamic and brainstem regions. (D) Migration candidate detection: multiplicative residual model identifies 30 Strong candidates (residual &lt; 0.3, ω &lt; 15, lowest ω in pair) among 31,764 cross-region comparisons. (E) Observed vs. expected ω for migration candidates, showing the gap between observed regional similarity and the cell-type-specific expectation.</w:t>
      </w:r>
    </w:p>
    <w:p>
      <w:pPr>
        <w:pStyle w:val="Heading1"/>
        <w:spacing w:before="240" w:after="120"/>
      </w:pPr>
      <w:r>
        <w:rPr>
          <w:rFonts w:ascii="Arial" w:hAnsi="Arial"/>
          <w:color w:val="000000"/>
          <w:sz w:val="32"/>
          <w:b/>
        </w:rPr>
        <w:t>Supplementary Figure legends</w:t>
      </w:r>
    </w:p>
    <w:p>
      <w:pPr>
        <w:spacing w:line="276" w:lineRule="auto" w:after="60"/>
        <w:ind w:firstLine="0"/>
      </w:pPr>
      <w:r>
        <w:rPr>
          <w:rFonts w:ascii="Arial" w:hAnsi="Arial"/>
          <w:b w:val="0"/>
          <w:i w:val="0"/>
          <w:color w:val="000000"/>
          <w:sz w:val="22"/>
        </w:rPr>
        <w:t>Supplementary Figure S1. Parameter sweep and pathway analysis. (A) k_n stability as a function of housekeeping gene set size, showing convergence at ~200-300 HK genes. (B) k_f component contribution per pathway: decomposition of k_n vs. k_f for representative pathways. (C) Weight sweep for multi-component k_f. Identity-only (w_identity = 1.0, w_pathway = 0.0) achieves optimal cell-type discrimination (AUC = 0.847, n = 703 mouse cell-type pairs, 6 organs).</w:t>
      </w:r>
    </w:p>
    <w:p>
      <w:pPr>
        <w:spacing w:line="276" w:lineRule="auto" w:after="60"/>
        <w:ind w:firstLine="0"/>
      </w:pPr>
      <w:r>
        <w:rPr>
          <w:rFonts w:ascii="Arial" w:hAnsi="Arial"/>
          <w:b w:val="0"/>
          <w:i w:val="0"/>
          <w:color w:val="000000"/>
          <w:sz w:val="22"/>
        </w:rPr>
        <w:t>Supplementary Figure S2. Cross-species validation details. (A) Cross-species ω conservation: scatter plot of human vs. mouse ω for shared cell types, with Spearman r and P-value. (B) HK gene set detection stability: overlap between human and mouse HK gene sets detected by the combined criterion. (C) ω distribution comparison between mouse (n = 15 shared cell types) and human (n = 5,151 pairs).</w:t>
      </w:r>
    </w:p>
    <w:p>
      <w:pPr>
        <w:spacing w:line="276" w:lineRule="auto" w:after="60"/>
        <w:ind w:firstLine="0"/>
      </w:pPr>
      <w:r>
        <w:rPr>
          <w:rFonts w:ascii="Arial" w:hAnsi="Arial"/>
          <w:b w:val="0"/>
          <w:i w:val="0"/>
          <w:color w:val="000000"/>
          <w:sz w:val="22"/>
        </w:rPr>
        <w:t>Supplementary Figure S3. TCGA per-cancer matrices. Pairwise ω matrices for five cancer types (BRCA, KIRC, LIHC, LUAD, LUSC) showing tissue-level transcriptomic divergence structure within each cancer cohort.</w:t>
      </w:r>
    </w:p>
    <w:p>
      <w:pPr>
        <w:spacing w:line="276" w:lineRule="auto" w:after="60"/>
        <w:ind w:firstLine="0"/>
      </w:pPr>
      <w:r>
        <w:rPr>
          <w:rFonts w:ascii="Arial" w:hAnsi="Arial"/>
          <w:b w:val="0"/>
          <w:i w:val="0"/>
          <w:color w:val="000000"/>
          <w:sz w:val="22"/>
        </w:rPr>
        <w:t>Supplementary Figure S4. Method comparison performance. ROC-AUC bar plot for cell-type classification across five metrics.</w:t>
      </w:r>
    </w:p>
    <w:p>
      <w:pPr>
        <w:spacing w:line="276" w:lineRule="auto" w:after="60"/>
        <w:ind w:firstLine="0"/>
      </w:pPr>
      <w:r>
        <w:rPr>
          <w:rFonts w:ascii="Arial" w:hAnsi="Arial"/>
          <w:b w:val="0"/>
          <w:i w:val="0"/>
          <w:color w:val="000000"/>
          <w:sz w:val="22"/>
        </w:rPr>
        <w:t>Supplementary Figure S5. Cross-organ conservation raw data. Complete table of 59 same-CT cross-organ pairs (Supplementary Table S2).</w:t>
      </w:r>
    </w:p>
    <w:p>
      <w:pPr>
        <w:spacing w:line="276" w:lineRule="auto" w:after="60"/>
        <w:ind w:firstLine="0"/>
      </w:pPr>
      <w:r>
        <w:rPr>
          <w:rFonts w:ascii="Arial" w:hAnsi="Arial"/>
          <w:b w:val="0"/>
          <w:i w:val="0"/>
          <w:color w:val="000000"/>
          <w:sz w:val="22"/>
        </w:rPr>
        <w:t>Supplementary Figure S6. Brain regional analysis details. (A) Cell type nuclei counts per brain region, showing the distribution of non-neuronal nuclei across sampled regions. (B) k_n/k_f decomposition per cell class, showing that ω variance is predominantly driven by k_f. (C) ω vs. number of regions (n_regions) per cell type, with Spearman ρ and empirical P-value reported; broader spatial distribution is associated with greater transcriptomic divergence. (D) Region-region ω matrix for astrocytes across brain regions, with hierarchical clustering. (E) Migration candidate counts by tier (Strong, Moderate, Weak) across all 31,764 cross-region pairs.</w:t>
      </w:r>
    </w:p>
    <w:p>
      <w:pPr>
        <w:spacing w:line="276" w:lineRule="auto" w:after="60"/>
        <w:ind w:firstLine="0"/>
      </w:pPr>
      <w:r>
        <w:rPr>
          <w:rFonts w:ascii="Arial" w:hAnsi="Arial"/>
          <w:b w:val="0"/>
          <w:i w:val="0"/>
          <w:color w:val="000000"/>
          <w:sz w:val="22"/>
        </w:rPr>
        <w:t>Supplementary Figure S7. Developmental signature detection. (A) Multiplicative residual distribution for all 31,764 cross-region pairs, with Strong (residual &lt; 0.3), Moderate (residual &lt; 0.5), and Weak (residual &lt; 0.75) tiers shaded. (B) Strong candidate counts by cell type. OPCs (0 Strong despite highest motility among the 10 non-neuronal classes) provide a key negative control, supporting that the model detects developmental-origin signatures rather than general motility. (C) Top 10 Strong candidates ranked by multiplicative residual, annotated with cell type and region pair. (D) Migration candidates by cell type and confidence tier, showing tier distribution across all 10 non-neuronal cell classes.</w:t>
      </w:r>
    </w:p>
    <w:p>
      <w:pPr>
        <w:spacing w:line="276" w:lineRule="auto" w:after="60"/>
        <w:ind w:firstLine="0"/>
      </w:pPr>
      <w:r>
        <w:rPr>
          <w:rFonts w:ascii="Arial" w:hAnsi="Arial"/>
          <w:b w:val="0"/>
          <w:i w:val="0"/>
          <w:color w:val="000000"/>
          <w:sz w:val="22"/>
        </w:rPr>
        <w:t>Supplementary Figure S8. ω distribution characterization. Histograms and Q-Q plots of ω distributions for brain, mouse, and human datasets, showing right-skewness and non-normality (Shapiro-Wilk and D’Agostino-Pearson tests, all P &lt; 0.001).</w:t>
      </w:r>
    </w:p>
    <w:p>
      <w:pPr>
        <w:spacing w:line="276" w:lineRule="auto" w:after="60"/>
        <w:ind w:firstLine="0"/>
      </w:pPr>
      <w:r>
        <w:rPr>
          <w:rFonts w:ascii="Arial" w:hAnsi="Arial"/>
          <w:b w:val="0"/>
          <w:i w:val="0"/>
          <w:color w:val="000000"/>
          <w:sz w:val="22"/>
        </w:rPr>
        <w:t>Supplementary Figure S9. Permutation null distribution for residual model. Distribution of multiplicative residuals under label permutation (B = 10,000), compared against observed residuals for Strong candidates.</w:t>
      </w:r>
    </w:p>
    <w:p>
      <w:pPr>
        <w:spacing w:line="276" w:lineRule="auto" w:after="60"/>
        <w:ind w:firstLine="0"/>
      </w:pPr>
      <w:r>
        <w:rPr>
          <w:rFonts w:ascii="Arial" w:hAnsi="Arial"/>
          <w:b w:val="0"/>
          <w:i w:val="0"/>
          <w:color w:val="000000"/>
          <w:sz w:val="22"/>
        </w:rPr>
        <w:t>Supplementary Figure S10.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p>
      <w:pPr>
        <w:spacing w:line="276" w:lineRule="auto" w:after="60"/>
        <w:ind w:firstLine="0"/>
      </w:pPr>
      <w:r>
        <w:rPr>
          <w:rFonts w:ascii="Arial" w:hAnsi="Arial"/>
          <w:b w:val="0"/>
          <w:i w:val="0"/>
          <w:color w:val="000000"/>
          <w:sz w:val="22"/>
        </w:rPr>
        <w:t>Supplementary Figure S11. Per-pair k_n variability. (A) Per-pair k_n (mean ± SD) by cell type in the brain atlas, showing substantial cross-pair variability (CV = 97.35%). (B) Scatter plot of ω computed with per-pair k_n vs. global k_n (Spearman ρ = −0.027), demonstrating that pair-specific k_n yields substantially different rankings.</w:t>
      </w:r>
    </w:p>
    <w:p>
      <w:pPr>
        <w:spacing w:line="276" w:lineRule="auto" w:after="60"/>
        <w:ind w:firstLine="0"/>
      </w:pPr>
      <w:r>
        <w:rPr>
          <w:rFonts w:ascii="Arial" w:hAnsi="Arial"/>
          <w:b w:val="0"/>
          <w:i w:val="0"/>
          <w:color w:val="000000"/>
          <w:sz w:val="22"/>
        </w:rPr>
        <w:t>Supplementary Figure S12. Calibrated omega. (A) Raw vs. calibrated ω (ω_cal = ω / 6.67) by brain cell type. (B) Calibrated ω distribution across all 31,764 brain pairs, with calibration baseline (ω_cal = 1.0) and mean indicated.</w:t>
      </w:r>
    </w:p>
    <w:p>
      <w:pPr>
        <w:spacing w:line="276" w:lineRule="auto" w:after="60"/>
        <w:ind w:firstLine="0"/>
      </w:pPr>
      <w:r>
        <w:rPr>
          <w:rFonts w:ascii="Arial" w:hAnsi="Arial"/>
          <w:b w:val="0"/>
          <w:i w:val="0"/>
          <w:color w:val="000000"/>
          <w:sz w:val="22"/>
        </w:rPr>
        <w:t>Statistical conventions. All P-values are from one-sided permutation tests (B = 1,000 for mouse/human/TCGA/brain; B = 10,000 for the multiplicative residual model) unless otherwise specified. Benjamini-Hochberg FDR correction was applied within each dataset. Non-parametric tests (Spearman correlation, Mann-Whitney U, Kruskal-Wallis, Jonckheere-Terpstra) are two-sided and reported with exact P-values; descriptive statistics are reported as mean ± SD or median [IQR] as indicated. Effect sizes include standardized effect size (SES = (ω_obs − mean(ω_null)) / sd(ω_null)) and Cohen's d (reported as descriptive due to ω non-normality). Bootstrap 95% confidence intervals use B = 10,000 resamples. All analyses use JS divergence with base-2 logarithm. Sample sizes (n) are reported for each comparison.</w:t>
      </w:r>
    </w:p>
    <w:p>
      <w:pPr>
        <w:pStyle w:val="Heading1"/>
        <w:spacing w:before="240" w:after="120"/>
      </w:pPr>
      <w:r>
        <w:rPr>
          <w:rFonts w:ascii="Arial" w:hAnsi="Arial"/>
          <w:color w:val="000000"/>
          <w:sz w:val="32"/>
          <w:b/>
        </w:rPr>
        <w:t>References</w:t>
      </w:r>
    </w:p>
    <w:p>
      <w:pPr>
        <w:spacing w:line="276" w:lineRule="auto" w:after="40"/>
      </w:pPr>
      <w:r>
        <w:rPr>
          <w:rFonts w:ascii="Arial" w:hAnsi="Arial"/>
          <w:color w:val="000000"/>
          <w:sz w:val="20"/>
        </w:rPr>
        <w:t>Korsunsky,I., Millard,N., Fan,J., Slowikowski,K., Zhang,F., Wei,K., Baglaenko,Y., Brenner,M., Loh,P.R. and Raychaudhuri,S. (2019) Fast, sensitive and accurate integration of single-cell data with Harmony. *Nat. Methods*, **16**, 1289–1296.</w:t>
      </w:r>
    </w:p>
    <w:p>
      <w:pPr>
        <w:spacing w:line="276" w:lineRule="auto" w:after="40"/>
      </w:pPr>
      <w:r>
        <w:rPr>
          <w:rFonts w:ascii="Arial" w:hAnsi="Arial"/>
          <w:color w:val="000000"/>
          <w:sz w:val="20"/>
        </w:rPr>
        <w:t>Lopez,R., Regier,J., Cole,M.B., Jordan,M.I. and Yosef,N. (2018) Deep generative modeling for single-cell transcriptomics. *Nat. Methods*, **15**, 1053–1058.</w:t>
      </w:r>
    </w:p>
    <w:p>
      <w:pPr>
        <w:spacing w:line="276" w:lineRule="auto" w:after="40"/>
      </w:pPr>
      <w:r>
        <w:rPr>
          <w:rFonts w:ascii="Arial" w:hAnsi="Arial"/>
          <w:color w:val="000000"/>
          <w:sz w:val="20"/>
        </w:rPr>
        <w:t>Rosen,Y., Brbic,M., Roohani,Y., Swanson,K., Li,Z. and Leskovec,J. (2024) Toward universal cell embeddings: integrating single-cell RNA-seq datasets across species with SATURN. *Nat. Methods*, **21**, 1492–1500.</w:t>
      </w:r>
    </w:p>
    <w:p>
      <w:pPr>
        <w:spacing w:line="276" w:lineRule="auto" w:after="40"/>
      </w:pPr>
      <w:r>
        <w:rPr>
          <w:rFonts w:ascii="Arial" w:hAnsi="Arial"/>
          <w:color w:val="000000"/>
          <w:sz w:val="20"/>
        </w:rPr>
        <w:t>Hounkpel,B., Chen,J., Gosline,S.J.C., Domeniconi,C. and Jiang,D. (2021) HRT Atlas v1.0 database: redefining human and mouse housekeeping genes and candidate reference transcripts by mining massive RNA-seq datasets. *Nucleic Acids Res.*, **49**, D947–D955.</w:t>
      </w:r>
    </w:p>
    <w:p>
      <w:pPr>
        <w:spacing w:line="276" w:lineRule="auto" w:after="40"/>
      </w:pPr>
      <w:r>
        <w:rPr>
          <w:rFonts w:ascii="Arial" w:hAnsi="Arial"/>
          <w:color w:val="000000"/>
          <w:sz w:val="20"/>
        </w:rPr>
        <w:t>Tabula Muris Consortium (2018) Single-cell transcriptomics of 20 mouse organs creates a Tabula Muris. *Nature*, **562**, 367–372.</w:t>
      </w:r>
    </w:p>
    <w:p>
      <w:pPr>
        <w:spacing w:line="276" w:lineRule="auto" w:after="40"/>
      </w:pPr>
      <w:r>
        <w:rPr>
          <w:rFonts w:ascii="Arial" w:hAnsi="Arial"/>
          <w:color w:val="000000"/>
          <w:sz w:val="20"/>
        </w:rPr>
        <w:t>Tabula Sapiens Consortium (2022) The Tabula Sapiens: a multiple-organ, single-cell transcriptomic atlas of humans. *Science*, **376**, eabl4896.</w:t>
      </w:r>
    </w:p>
    <w:p>
      <w:pPr>
        <w:spacing w:line="276" w:lineRule="auto" w:after="40"/>
      </w:pPr>
      <w:r>
        <w:rPr>
          <w:rFonts w:ascii="Arial" w:hAnsi="Arial"/>
          <w:color w:val="000000"/>
          <w:sz w:val="20"/>
        </w:rPr>
        <w:t>Cancer Genome Atlas Research Network (2014) Comprehensive molecular profiling of lung adenocarcinoma. *Nature*, **511**, 543–550.</w:t>
      </w:r>
    </w:p>
    <w:p>
      <w:pPr>
        <w:spacing w:line="276" w:lineRule="auto" w:after="40"/>
      </w:pPr>
      <w:r>
        <w:rPr>
          <w:rFonts w:ascii="Arial" w:hAnsi="Arial"/>
          <w:color w:val="000000"/>
          <w:sz w:val="20"/>
        </w:rPr>
        <w:t>Cancer Genome Atlas Network (2012) Comprehensive molecular portraits of human breast tumours. *Nature*, **490**, 61–70.</w:t>
      </w:r>
    </w:p>
    <w:p>
      <w:pPr>
        <w:spacing w:line="276" w:lineRule="auto" w:after="40"/>
      </w:pPr>
      <w:r>
        <w:rPr>
          <w:rFonts w:ascii="Arial" w:hAnsi="Arial"/>
          <w:color w:val="000000"/>
          <w:sz w:val="20"/>
        </w:rPr>
        <w:t>Siletti,K., Hodge,R., Mossi Albiach,A., Lee,K.W., Ding,S.L., Hu,L., Lönnerberg,P., Bakken,T., Casper,T., Clark,M. et al. (2023) Transcriptomic diversity of cell types across the adult human brain. *Science*, **382**, eadl7046.</w:t>
      </w:r>
    </w:p>
    <w:p>
      <w:pPr>
        <w:spacing w:line="276" w:lineRule="auto" w:after="40"/>
      </w:pPr>
      <w:r>
        <w:rPr>
          <w:rFonts w:ascii="Arial" w:hAnsi="Arial"/>
          <w:color w:val="000000"/>
          <w:sz w:val="20"/>
        </w:rPr>
        <w:t>Edmondson,H.A. and Steiner,P.E. (1954) Primary carcinoma of the liver: a study of 100 cases among 48,900 necropsies. *Cancer*, **7**, 462–503.</w:t>
      </w:r>
    </w:p>
    <w:p>
      <w:pPr>
        <w:spacing w:line="276" w:lineRule="auto" w:after="40"/>
      </w:pPr>
      <w:r>
        <w:rPr>
          <w:rFonts w:ascii="Arial" w:hAnsi="Arial"/>
          <w:color w:val="000000"/>
          <w:sz w:val="20"/>
        </w:rPr>
        <w:t>Perou,C.M., Sørlie,T., Eisen,M.B., van de Rijn,M., Jeffrey,S.S., Rees,C.A., Pollack,J.R., Ross,D.T., Johnsen,H., Akslen,L.A. et al. (2000) Molecular portraits of human breast tumours. *Nature*, **406**, 747–752.</w:t>
      </w:r>
    </w:p>
    <w:p>
      <w:pPr>
        <w:spacing w:line="276" w:lineRule="auto" w:after="40"/>
      </w:pPr>
      <w:r>
        <w:rPr>
          <w:rFonts w:ascii="Arial" w:hAnsi="Arial"/>
          <w:color w:val="000000"/>
          <w:sz w:val="20"/>
        </w:rPr>
        <w:t>Parker,J.S., Mullins,M., Cheang,M.C.U., Leung,S., Voduc,D., Vickery,T., Davies,S., Fauron,C., He,X., Hu,Z. et al. (2009) Supervised risk predictor of breast cancer based on intrinsic subtypes. *J. Clin. Oncol.*, **27**, 1160–1167.</w:t>
      </w:r>
    </w:p>
    <w:p>
      <w:pPr>
        <w:spacing w:line="276" w:lineRule="auto" w:after="40"/>
      </w:pPr>
      <w:r>
        <w:rPr>
          <w:rFonts w:ascii="Arial" w:hAnsi="Arial"/>
          <w:color w:val="000000"/>
          <w:sz w:val="20"/>
        </w:rPr>
        <w:t>Tsai,H.H., Niu,J., Munji,R., Davalos,D., Chang,J., Zhang,H., Tien,A.C., Kuo,C.J., Chan,J.R., Daneman,R. et al. (2016) Oligodendrocyte precursors migrate along vasculature in the developing nervous system. *Science*, **351**, 379–384.</w:t>
      </w:r>
    </w:p>
    <w:p>
      <w:pPr>
        <w:spacing w:line="276" w:lineRule="auto" w:after="40"/>
      </w:pPr>
      <w:r>
        <w:rPr>
          <w:rFonts w:ascii="Arial" w:hAnsi="Arial"/>
          <w:color w:val="000000"/>
          <w:sz w:val="20"/>
        </w:rPr>
        <w:t>Cerami,E., Gao,J., Dogrusoz,U., Gross,B.E., Sumer,S.O., Aksoy,B.A., Jacobsen,A., Byrne,C.J., Heuer,M.L., Larsson,E. et al. (2012) The cBio cancer genomics portal: an open platform for exploring multidimensional cancer genomics data. *Cancer Discov.*, **2**, 401–404.</w:t>
      </w:r>
    </w:p>
    <w:p>
      <w:pPr>
        <w:spacing w:line="276" w:lineRule="auto" w:after="40"/>
      </w:pPr>
      <w:r>
        <w:rPr>
          <w:rFonts w:ascii="Arial" w:hAnsi="Arial"/>
          <w:color w:val="000000"/>
          <w:sz w:val="20"/>
        </w:rPr>
        <w:t>Tarashansky,A.J., Musser,J.M., Khariton,M., Li,P., Arendt,D., Quake,S.R. and Wang,B. (2021) Mapping single-cell atlases throughout Metazoa unravels cell type evolution. *eLife*, **10**, e66747.</w:t>
      </w:r>
    </w:p>
    <w:p>
      <w:pPr>
        <w:spacing w:line="276" w:lineRule="auto" w:after="40"/>
      </w:pPr>
      <w:r>
        <w:rPr>
          <w:rFonts w:ascii="Arial" w:hAnsi="Arial"/>
          <w:color w:val="000000"/>
          <w:sz w:val="20"/>
        </w:rPr>
        <w:t>Regev,A., Teichmann,S.A., Lander,E.S., Amit,I., Benoist,C., Birney,E., Bodenmiller,B., Campbell,P., Carninci,P., Clatworthy,M. et al. (2017) The Human Cell Atlas. *eLife*, **6**, e27041.</w:t>
      </w:r>
    </w:p>
    <w:p>
      <w:pPr>
        <w:spacing w:line="276" w:lineRule="auto" w:after="40"/>
      </w:pPr>
      <w:r>
        <w:rPr>
          <w:rFonts w:ascii="Arial" w:hAnsi="Arial"/>
          <w:color w:val="000000"/>
          <w:sz w:val="20"/>
        </w:rPr>
        <w:t>Akay,L.A., Effenberger,A.H. and Tsai,L.H. (2022) Astrocyte endfoot formation controls the termination of oligodendrocyte precursor cell perivascular migration. *Neuron*, **111**, 190–201.e8.</w:t>
      </w:r>
    </w:p>
    <w:p>
      <w:pPr>
        <w:spacing w:line="276" w:lineRule="auto" w:after="40"/>
      </w:pPr>
      <w:r>
        <w:rPr>
          <w:rFonts w:ascii="Arial" w:hAnsi="Arial"/>
          <w:color w:val="000000"/>
          <w:sz w:val="20"/>
        </w:rPr>
        <w:t>Endo,F., Kasai,A., Cui,W., Tanaka,K.F. and Hashimoto,H. (2024) Astrocyte allocation during brain development is controlled by Tcf4-mediated fate restriction. *EMBO J.*, **43**, 4423–4447.</w:t>
      </w:r>
    </w:p>
    <w:p>
      <w:pPr>
        <w:spacing w:line="276" w:lineRule="auto" w:after="40"/>
      </w:pPr>
      <w:r>
        <w:rPr>
          <w:rFonts w:ascii="Arial" w:hAnsi="Arial"/>
          <w:color w:val="000000"/>
          <w:sz w:val="20"/>
        </w:rPr>
        <w:t>Yang,L., Zhao,Z., Li,Y., Wang,J., Chen,X. and Liu,Z. (2024) Single-cell multi-omics analysis of lineage development and spatial organization in the human fetal cerebellum. *Cell Discov.*, **10**, 25.</w:t>
      </w:r>
    </w:p>
    <w:p>
      <w:pPr>
        <w:spacing w:line="276" w:lineRule="auto" w:after="40"/>
      </w:pPr>
      <w:r>
        <w:rPr>
          <w:rFonts w:ascii="Arial" w:hAnsi="Arial"/>
          <w:color w:val="000000"/>
          <w:sz w:val="20"/>
        </w:rPr>
        <w:t>Menassa,D.A., Muntslag,T.A.O., Martin-Estebané,M., Barry-Carroll,L., Chapman,M.A., Adorjan,I., Tyler,T., Turnbull,B., Rose-Zerilli,M.J.J., Nicoll,J.A.R. et al. (2022) The spatiotemporal dynamics of microglia across the human lifespan. *Dev. Cell*, **57**, 2127–2139.e6.</w:t>
      </w:r>
    </w:p>
    <w:p>
      <w:pPr>
        <w:spacing w:line="276" w:lineRule="auto" w:after="40"/>
      </w:pPr>
      <w:r>
        <w:rPr>
          <w:rFonts w:ascii="Arial" w:hAnsi="Arial"/>
          <w:color w:val="000000"/>
          <w:sz w:val="20"/>
        </w:rPr>
        <w:t>Yang,Z. (2007) PAML 4: phylogenetic analysis by maximum likelihood. *Mol. Biol. Evol.*, **24**, 1586–1591.</w:t>
      </w:r>
    </w:p>
    <w:p>
      <w:pPr>
        <w:spacing w:line="276" w:lineRule="auto" w:after="40"/>
      </w:pPr>
      <w:r>
        <w:rPr>
          <w:rFonts w:ascii="Arial" w:hAnsi="Arial"/>
          <w:color w:val="000000"/>
          <w:sz w:val="20"/>
        </w:rPr>
        <w:t>Jiang,J., Li,J., Huang,Y., Wang,Y., Chen,L. and Zhang,X. (2024) CACIMAR: cross-species analysis of cell identities, markers, regulations, and interactions. *Brief. Bioinform.*, **25**, bbae283.</w:t>
      </w:r>
    </w:p>
    <w:p>
      <w:pPr>
        <w:spacing w:line="276" w:lineRule="auto" w:after="40"/>
      </w:pPr>
      <w:r>
        <w:rPr>
          <w:rFonts w:ascii="Arial" w:hAnsi="Arial"/>
          <w:color w:val="000000"/>
          <w:sz w:val="20"/>
        </w:rPr>
        <w:t>Tan,Y.L., Yuan,Y. and Tian,L. (2020) Microglial regional heterogeneity and its role in the brain. *Mol. Psychiatry*, **25**, 351–367.</w:t>
      </w:r>
    </w:p>
    <w:p>
      <w:pPr>
        <w:spacing w:line="276" w:lineRule="auto" w:after="40"/>
      </w:pPr>
      <w:r>
        <w:rPr>
          <w:rFonts w:ascii="Arial" w:hAnsi="Arial"/>
          <w:color w:val="000000"/>
          <w:sz w:val="20"/>
        </w:rPr>
        <w:t>Storey,J.D. and Tibshirani,R. (2003) Statistical significance for genomewide studies. *Proc. Natl. Acad. Sci. USA*, **100**, 9440–9445.</w:t>
      </w:r>
    </w:p>
    <w:p>
      <w:pPr>
        <w:spacing w:line="276" w:lineRule="auto" w:after="40"/>
      </w:pPr>
      <w:r>
        <w:rPr>
          <w:rFonts w:ascii="Arial" w:hAnsi="Arial"/>
          <w:color w:val="000000"/>
          <w:sz w:val="20"/>
        </w:rPr>
        <w:t>Wolf,F.A., Angerer,P. and Theis,F.J. (2018) SCANPY: large-scale single-cell gene expression data analysis. *Genome Biol.*, **19**, 15.</w:t>
      </w:r>
    </w:p>
    <w:p>
      <w:pPr>
        <w:spacing w:line="276" w:lineRule="auto" w:after="40"/>
      </w:pPr>
      <w:r>
        <w:rPr>
          <w:rFonts w:ascii="Arial" w:hAnsi="Arial"/>
          <w:color w:val="000000"/>
          <w:sz w:val="20"/>
        </w:rPr>
        <w:t>Hao,Y., Hao,S., Andersen-Nissen,E., Mauck,W.M. 3rd, Zheng,S., Butler,A., Lee,M.J., Wilk,A.J., Darby,C., Zager,M. et al. (2021) Integrated analysis of multimodal single-cell data. *Cell*, **184**, 3573–3587.</w:t>
      </w:r>
    </w:p>
    <w:p>
      <w:pPr>
        <w:spacing w:line="276" w:lineRule="auto" w:after="40"/>
      </w:pPr>
      <w:r>
        <w:rPr>
          <w:rFonts w:ascii="Arial" w:hAnsi="Arial"/>
          <w:color w:val="000000"/>
          <w:sz w:val="20"/>
        </w:rPr>
        <w:t>Hao,Y., Stuart,T., Kowalski,M.H., Choudhary,S., Hoffman,P., Hartman,A., Srivastava,A., Molla,G., Madad,S., Fernandez-Granda,C. et al. (2024) Dictionary learning for integrative, multimodal and scalable single-cell analysis. *Nat. Biotechnol.*, **42**, 293–304.</w:t>
      </w:r>
    </w:p>
    <w:p>
      <w:pPr>
        <w:spacing w:line="276" w:lineRule="auto" w:after="40"/>
      </w:pPr>
      <w:r>
        <w:rPr>
          <w:rFonts w:ascii="Arial" w:hAnsi="Arial"/>
          <w:color w:val="000000"/>
          <w:sz w:val="20"/>
        </w:rPr>
        <w:t>Weinstein,J.N., Collisson,E.A., Mills,G.B., Shaw,K.R., Ozenberger,B.A., Ellrott,K., Shmulevich,I., Sander,C. and Stuart,J.M. (2013) The Cancer Genome Atlas Pan-Cancer analysis project. *Nat. Genet.*, **45**, 1113–1120.</w:t>
      </w:r>
    </w:p>
    <w:p>
      <w:pPr>
        <w:spacing w:line="276" w:lineRule="auto" w:after="40"/>
      </w:pPr>
      <w:r>
        <w:rPr>
          <w:rFonts w:ascii="Arial" w:hAnsi="Arial"/>
          <w:color w:val="000000"/>
          <w:sz w:val="20"/>
        </w:rPr>
        <w:t>Colaprico,A., Silva,T.C., Olsen,C., Garofano,L., Cava,C., Garolini,D., Sabedot,T.S., Malta,T.M., Pagnotta,S.M., Castiglioni,I. et al. (2016) TCGAbiolinks: an R/Bioconductor package for integrative analysis of TCGA data. *Nucleic Acids Res.*, **44**, e71.</w:t>
      </w:r>
    </w:p>
    <w:p>
      <w:pPr>
        <w:spacing w:line="276" w:lineRule="auto" w:after="40"/>
      </w:pPr>
      <w:r>
        <w:rPr>
          <w:rFonts w:ascii="Arial" w:hAnsi="Arial"/>
          <w:color w:val="000000"/>
          <w:sz w:val="20"/>
        </w:rPr>
        <w:t>Luecken,M.D. and Theis,F.J. (2019) Current best practices in single-cell RNA-seq analysis: a tutorial. *Mol. Syst. Biol.*, **15**, e8746.</w:t>
      </w:r>
    </w:p>
    <w:p>
      <w:pPr>
        <w:spacing w:line="276" w:lineRule="auto" w:after="40"/>
      </w:pPr>
      <w:r>
        <w:rPr>
          <w:rFonts w:ascii="Arial" w:hAnsi="Arial"/>
          <w:color w:val="000000"/>
          <w:sz w:val="20"/>
        </w:rPr>
        <w:t>Nei,M. and Gojobori,T. (1986) Simple methods for estimating the numbers of synonymous and nonsynonymous nucleotide substitutions. *Mol. Biol. Evol.*, **3**, 418–426.</w:t>
      </w:r>
    </w:p>
    <w:p>
      <w:pPr>
        <w:spacing w:line="276" w:lineRule="auto" w:after="40"/>
      </w:pPr>
      <w:r>
        <w:rPr>
          <w:rFonts w:ascii="Arial" w:hAnsi="Arial"/>
          <w:color w:val="000000"/>
          <w:sz w:val="20"/>
        </w:rPr>
        <w:t>Tran,H.T.N., Ang,K.S., Chevrier,M., Zhang,X., Lee,N.Y.S., Goh,M. and Chen,J. (2020) A benchmark of batch-effect correction methods for single-cell RNA sequencing data. *Genome Biol.*, **21**, 12.</w:t>
      </w:r>
    </w:p>
    <w:p>
      <w:pPr>
        <w:spacing w:line="276" w:lineRule="auto" w:after="40"/>
      </w:pPr>
      <w:r>
        <w:rPr>
          <w:rFonts w:ascii="Arial" w:hAnsi="Arial"/>
          <w:color w:val="000000"/>
          <w:sz w:val="20"/>
        </w:rPr>
        <w:t>CZI Cell Science Program (2025) CZ CELLxGENE Discover: a single-cell data platform for scalable exploration, analysis and modeling of aggregated data. *Nucleic Acids Res.*, **53**, D886–D900.</w:t>
      </w:r>
    </w:p>
    <w:p>
      <w:pPr>
        <w:spacing w:line="276" w:lineRule="auto" w:after="40"/>
      </w:pPr>
      <w:r>
        <w:rPr>
          <w:rFonts w:ascii="Arial" w:hAnsi="Arial"/>
          <w:color w:val="000000"/>
          <w:sz w:val="20"/>
        </w:rPr>
        <w:t>Liberzon,A., Birger,C., Thorvaldsdóttir,H., Ghandi,M., Mesirov,J.P. and Tamayo,P. (2015) The Molecular Signatures Database Hallmark Gene Set Collection. *Cell Syst.*, **1**, 417–425.</w:t>
      </w:r>
    </w:p>
    <w:p>
      <w:pPr>
        <w:spacing w:line="276" w:lineRule="auto" w:after="40"/>
      </w:pPr>
      <w:r>
        <w:rPr>
          <w:rFonts w:ascii="Arial" w:hAnsi="Arial"/>
          <w:color w:val="000000"/>
          <w:sz w:val="20"/>
        </w:rPr>
        <w:t>Foerster,S., Floriddia,E.M., Neumann,B., Agirre,E., Castelo-Branco,G. and Franklin,R.J.M. (2024) Developmental origin of oligodendrocytes determines their function in the adult brain. *Nat. Neurosci.*, **27**, 1155–1165.</w:t>
      </w:r>
    </w:p>
    <w:p>
      <w:pPr>
        <w:spacing w:line="276" w:lineRule="auto" w:after="40"/>
      </w:pPr>
      <w:r>
        <w:rPr>
          <w:rFonts w:ascii="Arial" w:hAnsi="Arial"/>
          <w:color w:val="000000"/>
          <w:sz w:val="20"/>
        </w:rPr>
        <w:t>Wälchli,T., Ghobrial,M., Schwab,M.E., Takada,S., Zhong,H., Suntharalingham,S., Vetiska,S., Gonzalez,D.R., Wu,R., Rehrauer,H. et al. (2024) Single-cell atlas of the human brain vasculature across development, adulthood and disease. *Nature*, **632**, 603–613.</w:t>
      </w:r>
    </w:p>
    <w:p>
      <w:pPr>
        <w:spacing w:line="276" w:lineRule="auto" w:after="40"/>
      </w:pPr>
      <w:r>
        <w:rPr>
          <w:rFonts w:ascii="Arial" w:hAnsi="Arial"/>
          <w:color w:val="000000"/>
          <w:sz w:val="20"/>
        </w:rPr>
        <w:t>Shemer,A. and Jung,S. (2024) The molecular determinants of microglial developmental colonization. *Nat. Rev. Neurosci.*, **25**, 414–427.</w:t>
      </w:r>
    </w:p>
    <w:p>
      <w:pPr>
        <w:spacing w:line="276" w:lineRule="auto" w:after="40"/>
      </w:pPr>
      <w:r>
        <w:rPr>
          <w:rFonts w:ascii="Arial" w:hAnsi="Arial"/>
          <w:color w:val="000000"/>
          <w:sz w:val="20"/>
        </w:rPr>
        <w:t>Jones,H.E., Coelho-Santos,V., Bonney,S.K., Abrams,S.R., Shih,A.Y. and Siegenthaler,J.A. (2023) Meningeal origins and dynamics of perivascular fibroblast development. *Development*, **150**, dev201805.</w:t>
      </w:r>
    </w:p>
    <w:p>
      <w:pPr>
        <w:spacing w:line="276" w:lineRule="auto" w:after="40"/>
      </w:pPr>
      <w:r>
        <w:rPr>
          <w:rFonts w:ascii="Arial" w:hAnsi="Arial"/>
          <w:color w:val="000000"/>
          <w:sz w:val="20"/>
        </w:rPr>
        <w:t>Schaffenrath,J., Huang,S.F., Wyss,T., Delorenzi,M. and Keller,A. (2024) Characteristics of blood-brain barrier heterogeneity between brain regions. *Nat. Neurosci.*, **27**, 1851–1865.</w:t>
      </w:r>
    </w:p>
    <w:p>
      <w:pPr>
        <w:spacing w:line="276" w:lineRule="auto" w:after="40"/>
      </w:pPr>
      <w:r>
        <w:rPr>
          <w:rFonts w:ascii="Arial" w:hAnsi="Arial"/>
          <w:color w:val="000000"/>
          <w:sz w:val="20"/>
        </w:rPr>
        <w:t>Barry-Carroll,L., Greulich,P., Marshall,A.R., Riecken,K., Fehse,B., Askew,K.E., Li,K., Garaschuk,O., Menassa,D.A. and Gomez-Nicola,D. (2023) Microglia colonize the developing brain by clonal expansion of highly proliferative progenitors. *Cell Rep.*, **42**, 112425.</w:t>
      </w:r>
    </w:p>
    <w:p>
      <w:pPr>
        <w:spacing w:line="276" w:lineRule="auto" w:after="40"/>
      </w:pPr>
      <w:r>
        <w:rPr>
          <w:rFonts w:ascii="Arial" w:hAnsi="Arial"/>
          <w:color w:val="000000"/>
          <w:sz w:val="20"/>
        </w:rPr>
        <w:t>Reeber,S.L., Arancillo,M. and Sillitoe,R.V. (2015) Bergmann glia are patterned into topographic molecular zones in the cerebellum. *Cerebellum*, **14**, 392–403.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