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32"/>
        </w:rPr>
        <w:t>CKI: A Cell-state Kinetic Index for Quantifying Baseline-Normalized Transcriptomic Remodeling</w:t>
      </w:r>
    </w:p>
    <w:p>
      <w:pPr>
        <w:jc w:val="center"/>
      </w:pPr>
      <w:r>
        <w:rPr>
          <w:rFonts w:ascii="Arial" w:hAnsi="Arial"/>
          <w:color w:val="000000"/>
          <w:sz w:val="20"/>
        </w:rPr>
        <w:t>Running title: CKI: Baseline-Normalized Divergence Index</w:t>
      </w:r>
    </w:p>
    <w:p>
      <w:pPr>
        <w:jc w:val="center"/>
      </w:pPr>
      <w:r>
        <w:rPr>
          <w:rFonts w:ascii="Arial" w:hAnsi="Arial"/>
          <w:color w:val="000000"/>
          <w:sz w:val="24"/>
        </w:rPr>
        <w:t>Xianming Wu</w:t>
      </w:r>
      <w:r>
        <w:rPr>
          <w:rFonts w:ascii="Arial" w:hAnsi="Arial"/>
          <w:color w:val="000000"/>
          <w:sz w:val="18"/>
          <w:vertAlign w:val="superscript"/>
        </w:rPr>
        <w:t>1</w:t>
      </w:r>
      <w:r>
        <w:t xml:space="preserve">, </w:t>
      </w:r>
      <w:r>
        <w:rPr>
          <w:rFonts w:ascii="Arial" w:hAnsi="Arial"/>
          <w:color w:val="000000"/>
          <w:sz w:val="24"/>
        </w:rPr>
        <w:t>Li Zhang</w:t>
      </w:r>
      <w:r>
        <w:rPr>
          <w:rFonts w:ascii="Arial" w:hAnsi="Arial"/>
          <w:color w:val="000000"/>
          <w:sz w:val="18"/>
          <w:vertAlign w:val="superscript"/>
        </w:rPr>
        <w:t>1</w:t>
      </w:r>
      <w:r>
        <w:rPr>
          <w:rFonts w:ascii="Arial" w:hAnsi="Arial"/>
          <w:color w:val="000000"/>
          <w:sz w:val="18"/>
          <w:vertAlign w:val="superscript"/>
        </w:rPr>
        <w:t>2</w:t>
      </w:r>
      <w:r>
        <w:rPr>
          <w:rFonts w:ascii="Arial" w:hAnsi="Arial"/>
          <w:color w:val="000000"/>
          <w:sz w:val="18"/>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18"/>
        </w:rPr>
        <w:t>ORCID: 0000-0002-0698-0754</w:t>
      </w:r>
    </w:p>
    <w:p>
      <w:pPr>
        <w:pStyle w:val="Heading1"/>
        <w:spacing w:before="240" w:after="120"/>
      </w:pPr>
      <w:r>
        <w:rPr>
          <w:rFonts w:ascii="Arial" w:hAnsi="Arial"/>
          <w:color w:val="000000"/>
          <w:sz w:val="32"/>
          <w:b/>
        </w:rPr>
        <w:t>Graphical Abstract</w:t>
      </w:r>
    </w:p>
    <w:p>
      <w:pPr>
        <w:spacing w:line="276" w:lineRule="auto" w:after="60"/>
        <w:ind w:firstLine="0"/>
      </w:pPr>
      <w:r>
        <w:rPr>
          <w:rFonts w:ascii="Arial" w:hAnsi="Arial"/>
          <w:b w:val="0"/>
          <w:i w:val="0"/>
          <w:color w:val="000000"/>
          <w:sz w:val="22"/>
        </w:rPr>
        <w:t>[A graphical abstract figure (landscape, 5:2 aspect ratio) will be provided separately.]</w:t>
      </w:r>
    </w:p>
    <w:p>
      <w:pPr>
        <w:pStyle w:val="Heading1"/>
        <w:spacing w:before="240" w:after="120"/>
      </w:pPr>
      <w:r>
        <w:rPr>
          <w:rFonts w:ascii="Arial" w:hAnsi="Arial"/>
          <w:color w:val="000000"/>
          <w:sz w:val="32"/>
          <w:b/>
        </w:rPr>
        <w:t>Abstract</w:t>
      </w:r>
    </w:p>
    <w:p>
      <w:pPr>
        <w:spacing w:line="276" w:lineRule="auto" w:after="60"/>
        <w:ind w:firstLine="0"/>
      </w:pPr>
      <w:r>
        <w:rPr>
          <w:rFonts w:ascii="Arial" w:hAnsi="Arial"/>
          <w:b w:val="0"/>
          <w:i w:val="0"/>
          <w:color w:val="000000"/>
          <w:sz w:val="22"/>
        </w:rPr>
        <w:t>Comparing cell populations is fundamental in single-cell genomics, yet standard distance metrics conflate baseline variation with functional adaptation. Heuristically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totaling millions of cells. Calibration confirmed an empirical baseline for equivalent populations (mean ω = 6.67, all P &gt; 0.05), systematically inflated above the theoretical ω = 1 by highly variable gene pre-selection. CKI ω was negatively correlated with all standard distance metrics (Spearman r = −0.38 to −0.57, all P &lt; 0.001), indicating it captures an independent information dimension. Cancer analysis revealed transcriptional convergence across genetically diverse tumors. Brain regional analysis identified 30 cell-type-specific developmental signatures spanning four biological mechanisms among 31,764 comparisons. CKI provides a principled framework for quantifying functional transcriptomic divergence relative to an internal baseline, available as an open-source Python package.</w:t>
      </w:r>
    </w:p>
    <w:p>
      <w:pPr>
        <w:jc w:val="center"/>
      </w:pPr>
      <w:r>
        <w:rPr>
          <w:rFonts w:ascii="Arial" w:hAnsi="Arial"/>
          <w:color w:val="000000"/>
          <w:sz w:val="20"/>
        </w:rPr>
        <w:t>Keywords: cell-state divergence, housekeeping genes, Jensen-Shannon decomposition, transcriptomic remodeling, single-cell genomics</w:t>
      </w:r>
    </w:p>
    <w:p>
      <w:pPr>
        <w:pStyle w:val="Heading1"/>
        <w:spacing w:before="240" w:after="120"/>
      </w:pPr>
      <w:r>
        <w:rPr>
          <w:rFonts w:ascii="Arial" w:hAnsi="Arial"/>
          <w:color w:val="000000"/>
          <w:sz w:val="32"/>
          <w:b/>
        </w:rPr>
        <w:t>Introduction</w:t>
      </w:r>
    </w:p>
    <w:p>
      <w:pPr>
        <w:spacing w:line="276" w:lineRule="auto" w:after="6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6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(16), where donor-level and batch-level variation often dominates over cell-type identity. Methods such as Harmony (1), scVI (2), and SATURN (3) have been developed specifically to remove such nuisance variation (32). However, after correction, a key question remains: how much of the remaining difference between two populations represents functional adaptation, and how much is simply neutral drift?</w:t>
      </w:r>
    </w:p>
    <w:p>
      <w:pPr>
        <w:spacing w:line="276" w:lineRule="auto" w:after="6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(31).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6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60"/>
        <w:ind w:firstLine="0"/>
      </w:pPr>
      <w:r>
        <w:rPr>
          <w:rFonts w:ascii="Arial" w:hAnsi="Arial"/>
          <w:b w:val="0"/>
          <w:i w:val="0"/>
          <w:color w:val="000000"/>
          <w:sz w:val="22"/>
        </w:rPr>
        <w:t>We validated CKI across four scales, each testing a different aspect of the method. First, we calibrated CKI on Tabula Muris mouse data (5), confirming that random splits of the same cell population yield ω above 1 (empirical calibration baseline 6.67). Second, we extended CKI to Tabula Sapiens human data (6) and found that CKI ω is negatively correlated with all four standard distance metrics, demonstrating that it captures an independent information dimension. Third, we applied CKI to TCGA cancer data (7,8), revealing that tumors are paradoxically more transcriptionally homogeneous than normal tissues. Fourth, we used CKI to analyze a human brain single-nucleus atlas (9),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pPr>
        <w:pStyle w:val="Heading1"/>
        <w:spacing w:before="240" w:after="120"/>
      </w:pPr>
      <w:r>
        <w:rPr>
          <w:rFonts w:ascii="Arial" w:hAnsi="Arial"/>
          <w:color w:val="000000"/>
          <w:sz w:val="32"/>
          <w:b/>
        </w:rPr>
        <w:t>Materials and Methods</w:t>
      </w:r>
    </w:p>
    <w:p>
      <w:pPr>
        <w:pStyle w:val="Heading2"/>
        <w:spacing w:before="240" w:after="120"/>
      </w:pPr>
      <w:r>
        <w:rPr>
          <w:rFonts w:ascii="Arial" w:hAnsi="Arial"/>
          <w:color w:val="000000"/>
          <w:sz w:val="28"/>
          <w:b/>
        </w:rPr>
        <w:t>CKI computation</w:t>
      </w:r>
    </w:p>
    <w:p>
      <w:pPr>
        <w:spacing w:line="276" w:lineRule="auto" w:after="60"/>
        <w:ind w:firstLine="0"/>
      </w:pPr>
      <w:r>
        <w:rPr>
          <w:rFonts w:ascii="Arial" w:hAnsi="Arial"/>
          <w:b w:val="0"/>
          <w:i w:val="0"/>
          <w:color w:val="000000"/>
          <w:sz w:val="22"/>
        </w:rPr>
        <w:t>We normalize raw count matrices to 10,000 counts per cell and apply log1p transformation (30). Pseudobulk vectors are computed by averaging expression across cells sharing the same cell-type annotation, requiring at least 10 cells per group. Housekeeping (HK) genes are loaded from the HRT Atlas v1.0 reference (4)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6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uses the base-2 logarithm (range [0, 1]).</w:t>
      </w:r>
    </w:p>
    <w:p>
      <w:pPr>
        <w:pStyle w:val="Heading2"/>
        <w:spacing w:before="240" w:after="120"/>
      </w:pPr>
      <w:r>
        <w:rPr>
          <w:rFonts w:ascii="Arial" w:hAnsi="Arial"/>
          <w:color w:val="000000"/>
          <w:sz w:val="28"/>
          <w:b/>
        </w:rPr>
        <w:t>Dimensionality invariance of JS divergence</w:t>
      </w:r>
    </w:p>
    <w:p>
      <w:pPr>
        <w:spacing w:line="276" w:lineRule="auto" w:after="6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240" w:after="120"/>
      </w:pPr>
      <w:r>
        <w:rPr>
          <w:rFonts w:ascii="Arial" w:hAnsi="Arial"/>
          <w:color w:val="000000"/>
          <w:sz w:val="28"/>
          <w:b/>
        </w:rPr>
        <w:t>Bootstrap permutation test</w:t>
      </w:r>
    </w:p>
    <w:p>
      <w:pPr>
        <w:spacing w:line="276" w:lineRule="auto" w:after="6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240" w:after="120"/>
      </w:pPr>
      <w:r>
        <w:rPr>
          <w:rFonts w:ascii="Arial" w:hAnsi="Arial"/>
          <w:color w:val="000000"/>
          <w:sz w:val="28"/>
          <w:b/>
        </w:rPr>
        <w:t>Datasets</w:t>
      </w:r>
    </w:p>
    <w:p>
      <w:pPr>
        <w:spacing w:line="276" w:lineRule="auto" w:after="60"/>
        <w:ind w:firstLine="0"/>
      </w:pPr>
      <w:r>
        <w:rPr>
          <w:rFonts w:ascii="Arial" w:hAnsi="Arial"/>
          <w:b w:val="0"/>
          <w:i w:val="0"/>
          <w:color w:val="000000"/>
          <w:sz w:val="22"/>
        </w:rPr>
        <w:t>Tabula Muris FACS SmartSeq2 (5): 15,057 cells, 22,308 genes, 6 organs (liver, kidney, spleen, lung, heart, bone marrow). Post-QC: 32 cell-type entries (each with at least 10 cells). Highly variable genes selected using scanpy (25) with flavor="seurat" (26,27) and n_top_genes=2,000.</w:t>
      </w:r>
    </w:p>
    <w:p>
      <w:pPr>
        <w:spacing w:line="276" w:lineRule="auto" w:after="60"/>
        <w:ind w:firstLine="0"/>
      </w:pPr>
      <w:r>
        <w:rPr>
          <w:rFonts w:ascii="Arial" w:hAnsi="Arial"/>
          <w:b w:val="0"/>
          <w:i w:val="0"/>
          <w:color w:val="000000"/>
          <w:sz w:val="22"/>
        </w:rPr>
        <w:t>Tabula Sapiens v1.0 (6): accessed via CZ CELLxGENE Discover. Post-QC: 108,136 cells (6 h5ad files total), 51,852 genes, 102 cell-type entries across 6 organs. HK genes: HRT Atlas v1.0 reference (1,130 genes; human column).</w:t>
      </w:r>
    </w:p>
    <w:p>
      <w:pPr>
        <w:spacing w:line="276" w:lineRule="auto" w:after="60"/>
        <w:ind w:firstLine="0"/>
      </w:pPr>
      <w:r>
        <w:rPr>
          <w:rFonts w:ascii="Arial" w:hAnsi="Arial"/>
          <w:b w:val="0"/>
          <w:i w:val="0"/>
          <w:color w:val="000000"/>
          <w:sz w:val="22"/>
        </w:rPr>
        <w:t>TCGA bulk RNA-seq (28): five cancer types from NCI Genomic Data Commons, accessed via TCGAbiolinks (29) and cBioPortal (14) APIs. LUAD: 495 tumor + 76 normal; LUSC: 567 tumor + 58 normal; LIHC: 365 tumor + 57 normal; KIRC: 755 tumor + 82 normal; BRCA: 1032 tumor + 109 normal. TPM values from UCSC Xena, log2(TPM + 1) transformed. PAM50 classification (11,12): nearest centroid (Pearson correlation), 44 of 47 PAM50 genes matched. LIHC Edmondson grade (10): from cBioPortal, 288 tumors. LUAD mutations: from cBioPortal, 492 samples (61 EGFR, 120 KRAS, 311 WT).</w:t>
      </w:r>
    </w:p>
    <w:p>
      <w:pPr>
        <w:spacing w:line="276" w:lineRule="auto" w:after="60"/>
        <w:ind w:firstLine="0"/>
      </w:pPr>
      <w:r>
        <w:rPr>
          <w:rFonts w:ascii="Arial" w:hAnsi="Arial"/>
          <w:b w:val="0"/>
          <w:i w:val="0"/>
          <w:color w:val="000000"/>
          <w:sz w:val="22"/>
        </w:rPr>
        <w:t>Human brain atlas (9):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(8,932), fibroblasts (8,156), ependymal cells (5,882), choroid plexus (7,689),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240" w:after="120"/>
      </w:pPr>
      <w:r>
        <w:rPr>
          <w:rFonts w:ascii="Arial" w:hAnsi="Arial"/>
          <w:color w:val="000000"/>
          <w:sz w:val="28"/>
          <w:b/>
        </w:rPr>
        <w:t>Method comparison</w:t>
      </w:r>
    </w:p>
    <w:p>
      <w:pPr>
        <w:spacing w:line="276" w:lineRule="auto" w:after="6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240" w:after="120"/>
      </w:pPr>
      <w:r>
        <w:rPr>
          <w:rFonts w:ascii="Arial" w:hAnsi="Arial"/>
          <w:color w:val="000000"/>
          <w:sz w:val="28"/>
          <w:b/>
        </w:rPr>
        <w:t>Multiplicative residual model for brain regional analysis</w:t>
      </w:r>
    </w:p>
    <w:p>
      <w:pPr>
        <w:spacing w:line="276" w:lineRule="auto" w:after="6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To provide empirical null calibration, we implemented a permutation-based null distribution: cell type labels were shuffled within each region pair (B = 10,000 permutations), and per-signal empirical P-values were computed as P = (count(null_residual ≤ observed) + 1)/(B + 1). Benjamini-Hochberg FDR correction was applied at two levels. First, per-signal BH-FDR was computed across all 31,764 permutation P-values; however, 36.3% of signals (11,541/31,764) reached the empirical P-value floor (P = 9.99 × 10⁻⁵) of the B = 10,000 permutation test, making per-signal FDR uninformative because the empirical floor precludes proper FDR control. Second, to resolve this saturation, we applied Extreme Value Theory (EVT) using the Peaks-Over-Threshold method: for each saturated signal, we fit a Generalized Pareto Distribution to the 500 smallest null residuals and extrapolated P-values below the empirical floor as P_EVT = (K/B) × S_GPD(u − observed_residual). The EVT-extrapolated P-values for the 30 Strong-tier candidates were then corrected using BH-FDR within the Strong tier (m = 30), identifying 16 statistically significant signals at FDR &lt; 0.05. Importantly, the per-signal tests are not independent (the same cell type or region pair appears in multiple comparisons), and the B = 10,000 permutation budget limits the minimum resolvable P-value; both caveats are addressed by the tier-level FDR strategy which restricts formal inference to the 30 predefined Strong candidates rather than the full 31,764 search space.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spacing w:line="276" w:lineRule="auto" w:after="60"/>
        <w:ind w:firstLine="0"/>
      </w:pPr>
      <w:r>
        <w:rPr>
          <w:rFonts w:ascii="Arial" w:hAnsi="Arial"/>
          <w:b w:val="0"/>
          <w:i w:val="0"/>
          <w:color w:val="000000"/>
          <w:sz w:val="22"/>
        </w:rPr>
        <w:t>For the brain residual model, 11,541 of 31,764 signals (36.3%) reached the empirical P-value floor (P = 9.99 × 10⁻⁵) of the B = 10,000 permutation test, meaning the null distribution contained no residual values as extreme as the observed residual for these signals. To resolve this saturation, we applied Extreme Value Theory (EVT) using the Peaks-Over-Threshold (POT) method. For each saturated signal, we retained the K = 500 smallest null residuals, fit a Generalized Pareto Distribution (GPD) to the exceedances above the empirical threshold using maximum likelihood estimation, and extrapolated P-values below the empirical floor as P = (K/B) × S_GPD(u − observed_residual), where S_GPD is the fitted GPD survival function and u is the threshold. All 11,541 saturated signals were successfully resolved by GPD fitting; no signals required fallback to the empirical floor value.</w:t>
      </w:r>
    </w:p>
    <w:p>
      <w:pPr>
        <w:pStyle w:val="Heading2"/>
        <w:spacing w:before="240" w:after="120"/>
      </w:pPr>
      <w:r>
        <w:rPr>
          <w:rFonts w:ascii="Arial" w:hAnsi="Arial"/>
          <w:color w:val="000000"/>
          <w:sz w:val="28"/>
          <w:b/>
        </w:rPr>
        <w:t>Clinical severity analysis</w:t>
      </w:r>
    </w:p>
    <w:p>
      <w:pPr>
        <w:spacing w:line="276" w:lineRule="auto" w:after="6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(11,12); 44 of 47 PAM50 genes matched to TCGA gene symbols. LIHC Edmondson histological grades (10)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are reported as descriptive statistics (medians and IQRs) without formal P-values, as the paired design (tumor and matched adjacent normal from the same patient) does not meet the independence assumption of standard between-group tests.</w:t>
      </w:r>
    </w:p>
    <w:p>
      <w:pPr>
        <w:pStyle w:val="Heading2"/>
        <w:spacing w:before="240" w:after="120"/>
      </w:pPr>
      <w:r>
        <w:rPr>
          <w:rFonts w:ascii="Arial" w:hAnsi="Arial"/>
          <w:color w:val="000000"/>
          <w:sz w:val="28"/>
          <w:b/>
        </w:rPr>
        <w:t>Computational environment</w:t>
      </w:r>
    </w:p>
    <w:p>
      <w:pPr>
        <w:spacing w:line="276" w:lineRule="auto" w:after="60"/>
        <w:ind w:firstLine="0"/>
      </w:pPr>
      <w:r>
        <w:rPr>
          <w:rFonts w:ascii="Arial" w:hAnsi="Arial"/>
          <w:b w:val="0"/>
          <w:i w:val="0"/>
          <w:color w:val="000000"/>
          <w:sz w:val="22"/>
        </w:rPr>
        <w:t>All analyses were performed in Python 3.13.12 with scanpy &gt;= 1.9.0 (25), scipy &gt;= 1.10.0, numpy &gt;= 1.23.0, pandas &gt;= 1.5.0, matplotlib &gt;= 3.6.0, seaborn &gt;= 0.12.0, and scikit-learn &gt;= 1.2.0. All random seeds were fixed at 42.</w:t>
      </w:r>
    </w:p>
    <w:p>
      <w:pPr>
        <w:pStyle w:val="Heading2"/>
        <w:spacing w:before="240" w:after="120"/>
      </w:pPr>
      <w:r>
        <w:rPr>
          <w:rFonts w:ascii="Arial" w:hAnsi="Arial"/>
          <w:color w:val="000000"/>
          <w:sz w:val="28"/>
          <w:b/>
        </w:rPr>
        <w:t>Statistical reporting</w:t>
      </w:r>
    </w:p>
    <w:p>
      <w:pPr>
        <w:spacing w:line="276" w:lineRule="auto" w:after="60"/>
        <w:ind w:firstLine="0"/>
      </w:pPr>
      <w:r>
        <w:rPr>
          <w:rFonts w:ascii="Arial" w:hAnsi="Arial"/>
          <w:b w:val="0"/>
          <w:i w:val="0"/>
          <w:color w:val="000000"/>
          <w:sz w:val="22"/>
        </w:rPr>
        <w:t>We report summary statistics as mean ± s.d. (range) or median [IQR] as noted. Box plots display median, IQR, and 1.5× IQR whiskers. Bootstrap permutation testing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This tests whether the observed ω is larger than expected under random group assignment. Benjamini-Hochberg FDR correction is applied within each dataset to control the false discovery rate (24). The number of tests is determined by the number of cell types (10 for brain, 17 for human per-cell-type, 15 for mouse), not the number of region pairs. With B = 1,000, the minimum resolvable P-value is 9.99 × 10⁻⁴, which is well below the Benjamini-Hochberg threshold for the most significant test in each dataset (brain: 5.0 × 10⁻³; human: 2.9 × 10⁻³; mouse: 3.3 × 10⁻³), confirming that B = 1,000 provides sufficient resolution for all tests.</w:t>
      </w:r>
    </w:p>
    <w:p>
      <w:pPr>
        <w:spacing w:line="276" w:lineRule="auto" w:after="6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 ω distribution was characterized using skewness, excess kurtosis, and normality tests (Shapiro-Wilk for n ≤ 5,000; D’Agostino-Pearson for n &gt; 5,000). All ω distributions were right-skewed (brain: skewness = 2.22; mouse: 0.98; human: 0.73) and significantly non-normal (all P &lt; 10⁻¹⁵). Effect sizes are reported as Cohen's d as a descriptive measure of separation; given the non-normal ω distribution, d should be interpreted as a standardized mean difference rather than a parametric test statistic. The calibration experiment using split-half equivalent populations (n = 6 random splits of the same tissue) yielded a mean ω = 6.67, reflecting systematic inflation of k_f relative to k_n from HVG 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240" w:after="120"/>
      </w:pPr>
      <w:r>
        <w:rPr>
          <w:rFonts w:ascii="Arial" w:hAnsi="Arial"/>
          <w:color w:val="000000"/>
          <w:sz w:val="32"/>
          <w:b/>
        </w:rPr>
        <w:t>Results</w:t>
      </w:r>
    </w:p>
    <w:p>
      <w:pPr>
        <w:pStyle w:val="Heading2"/>
        <w:spacing w:before="240" w:after="120"/>
      </w:pPr>
      <w:r>
        <w:rPr>
          <w:rFonts w:ascii="Arial" w:hAnsi="Arial"/>
          <w:color w:val="000000"/>
          <w:sz w:val="28"/>
          <w:b/>
        </w:rPr>
        <w:t>Decomposing transcriptomic variation</w:t>
      </w:r>
    </w:p>
    <w:p>
      <w:pPr>
        <w:spacing w:line="276" w:lineRule="auto" w:after="6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6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(4), k_n captures baseline noise: technical variation, stochastic transcriptional bursting, and individual-level physiological differences.</w:t>
      </w:r>
    </w:p>
    <w:p>
      <w:pPr>
        <w:spacing w:line="276" w:lineRule="auto" w:after="6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identity genes are the top-2,000 highly variable genes (HVGs; Seurat flavor), excluding HK genes to maintain k_n/k_f independence. k_f is the JS divergence between these two identity gene probability distributions.</w:t>
      </w:r>
    </w:p>
    <w:p>
      <w:pPr>
        <w:spacing w:line="276" w:lineRule="auto" w:after="6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Cohen's d.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6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neutral and identity gene sets is sufficient.</w:t>
      </w:r>
    </w:p>
    <w:p>
      <w:pPr>
        <w:pStyle w:val="Heading2"/>
        <w:spacing w:before="240" w:after="120"/>
      </w:pPr>
      <w:r>
        <w:rPr>
          <w:rFonts w:ascii="Arial" w:hAnsi="Arial"/>
          <w:color w:val="000000"/>
          <w:sz w:val="28"/>
          <w:b/>
        </w:rPr>
        <w:t>Calibration confirms baseline behavior at baseline</w:t>
      </w:r>
    </w:p>
    <w:p>
      <w:pPr>
        <w:spacing w:line="276" w:lineRule="auto" w:after="60"/>
        <w:ind w:firstLine="0"/>
      </w:pPr>
      <w:r>
        <w:rPr>
          <w:rFonts w:ascii="Arial" w:hAnsi="Arial"/>
          <w:b w:val="0"/>
          <w:i w:val="0"/>
          <w:color w:val="000000"/>
          <w:sz w:val="22"/>
        </w:rPr>
        <w:t>We calibrated CKI on the Tabula Muris FACS dataset (5) (SmartSeq2, 15,057 cells, 22,308 genes, 6 organs). Housekeeping genes were loaded from the HRT Atlas v1.0 reference (4) (mouse ortholog column). Identity genes were the top-2,000 highly variable genes (HVGs; Seurat), excluding HK genes (Fig. 2).</w:t>
      </w:r>
    </w:p>
    <w:p>
      <w:pPr>
        <w:spacing w:line="276" w:lineRule="auto" w:after="6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and none of the six comparisons reached statistical significance (all P &gt; 0.05, one-sided bootstrap test). This confirms that CKI recognizes biologically equivalent cell populations as having no functional divergence. We note that while these results are consistent with baseline behavior, formal equivalence testing (e.g., two one-sided tests, TOST) with a larger calibration sample would provide stronger statistical evidence for equivalence; the current sample size (n = 6) limits the power of such tests.</w:t>
      </w:r>
    </w:p>
    <w:p>
      <w:pPr>
        <w:spacing w:line="276" w:lineRule="auto" w:after="6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spacing w:line="276" w:lineRule="auto" w:after="60"/>
        <w:ind w:firstLine="0"/>
      </w:pPr>
      <w:r>
        <w:rPr>
          <w:rFonts w:ascii="Arial" w:hAnsi="Arial"/>
          <w:b w:val="0"/>
          <w:i w:val="0"/>
          <w:color w:val="000000"/>
          <w:sz w:val="22"/>
        </w:rPr>
        <w:t>Because the empirical baseline (ω = 6.67) deviates substantially from the theoretical ideal (ω = 1), we introduce a calibrated omega: ω_cal = ω_obs / 6.67. This rescales all values so that equivalent populations yield ω_cal ≈ 1.0, restoring the interpretability of the ratio framework. Under this calibration, mouse controls yield ω_cal = 1.00, brain global mean becomes ω_cal = 1.20 (raw 8.01), and astrocytes—the most regionally divergent brain cell type—yield ω_cal = 2.15 (raw 14.36). Cell types with ω_cal &lt; 1, such as Bergmann glia (ω_cal = 0.36), are more transcriptionally constrained between brain regions than the empirical baseline. The calibrated values are reported alongside raw ω in all key results and Supplementary Figures 10–12. The calibrate_omega() function is available in the CKI package.</w:t>
      </w:r>
    </w:p>
    <w:p>
      <w:pPr>
        <w:pStyle w:val="Heading2"/>
        <w:spacing w:before="240" w:after="120"/>
      </w:pPr>
      <w:r>
        <w:rPr>
          <w:rFonts w:ascii="Arial" w:hAnsi="Arial"/>
          <w:color w:val="000000"/>
          <w:sz w:val="28"/>
          <w:b/>
        </w:rPr>
        <w:t>CKI captures information that standard metrics miss</w:t>
      </w:r>
    </w:p>
    <w:p>
      <w:pPr>
        <w:spacing w:line="276" w:lineRule="auto" w:after="60"/>
        <w:ind w:firstLine="0"/>
      </w:pPr>
      <w:r>
        <w:rPr>
          <w:rFonts w:ascii="Arial" w:hAnsi="Arial"/>
          <w:b w:val="0"/>
          <w:i w:val="0"/>
          <w:color w:val="000000"/>
          <w:sz w:val="22"/>
        </w:rPr>
        <w:t>We extended CKI to the Tabula Sapiens human atlas (6)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For the brain analysis, k_n was computed per-pair (not globally), because regional comparisons within the same cell type demand pair-specific baselines. Analysis of per-pair k_n across 31,764 brain comparisons revealed substantial cross-pair variability (CV = 97.35%), and the Spearman correlation between per-pair ω and global-k_n ω was only -0.027 (P = 9.96e-07), confirming that pair-specific k_n is essential for accurate ω ranking (Supplementary Fig. S11). HK genes were loaded from the HRT Atlas v1.0 reference (4) (human column) (Fig. 3).</w:t>
      </w:r>
    </w:p>
    <w:p>
      <w:pPr>
        <w:spacing w:line="276" w:lineRule="auto" w:after="60"/>
        <w:ind w:firstLine="0"/>
      </w:pPr>
      <w:r>
        <w:rPr>
          <w:rFonts w:ascii="Arial" w:hAnsi="Arial"/>
          <w:b w:val="0"/>
          <w:i w:val="0"/>
          <w:color w:val="000000"/>
          <w:sz w:val="22"/>
        </w:rPr>
        <w:t>Human ω values ranged from 1.10 to 58.69 (mean 14.23, median 13.81, n = 5,151 pairs), substantively lower than mouse (mean 27.31). This difference likely reflects fundamentally different data structures: mouse data uses a global k_n scheme (k_n computed once globally on shared HK genes, k_f computed per pair with the global HVG set), while the human hybrid scheme uses a global k_n with per-pair k_f, which alters the effective ω scale. Despite this, the biological hierarchy was preserved: same cell type across organs (mean ω = 15.83, n = 59 pairs) was lower than different cell types within the same organ (mean ω = 24.87, n = 1,038 pairs).</w:t>
      </w:r>
    </w:p>
    <w:p>
      <w:pPr>
        <w:spacing w:line="276" w:lineRule="auto" w:after="6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240" w:after="120"/>
      </w:pPr>
      <w:r>
        <w:rPr>
          <w:rFonts w:ascii="Arial" w:hAnsi="Arial"/>
          <w:b/>
          <w:sz w:val="18"/>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20"/>
      </w:pPr>
    </w:p>
    <w:p>
      <w:pPr>
        <w:spacing w:line="276" w:lineRule="auto" w:after="60"/>
        <w:ind w:firstLine="0"/>
      </w:pPr>
      <w:r>
        <w:rPr>
          <w:rFonts w:ascii="Arial" w:hAnsi="Arial"/>
          <w:b w:val="0"/>
          <w:i w:val="0"/>
          <w:color w:val="000000"/>
          <w:sz w:val="22"/>
        </w:rPr>
        <w:t>CKI showed moderate cell-type classification performance (AUC = 0.716, above Spearman distance at AUC = 0.690 but below cosine distance at AUC = 0.887; Table 1).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24.87 vs. 20.80,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240" w:after="120"/>
      </w:pPr>
      <w:r>
        <w:rPr>
          <w:rFonts w:ascii="Arial" w:hAnsi="Arial"/>
          <w:color w:val="000000"/>
          <w:sz w:val="28"/>
          <w:b/>
        </w:rPr>
        <w:t>Cancer analysis reveals unexpected transcriptional convergence</w:t>
      </w:r>
    </w:p>
    <w:p>
      <w:pPr>
        <w:spacing w:line="276" w:lineRule="auto" w:after="60"/>
        <w:ind w:firstLine="0"/>
      </w:pPr>
      <w:r>
        <w:rPr>
          <w:rFonts w:ascii="Arial" w:hAnsi="Arial"/>
          <w:b w:val="0"/>
          <w:i w:val="0"/>
          <w:color w:val="000000"/>
          <w:sz w:val="22"/>
        </w:rPr>
        <w:t>We applied CKI to TCGA bulk RNA-seq data across five cancer types (LUAD, LUSC, LIHC, KIRC, BRCA) (7,8),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60"/>
        <w:ind w:firstLine="0"/>
      </w:pPr>
      <w:r>
        <w:rPr>
          <w:rFonts w:ascii="Arial" w:hAnsi="Arial"/>
          <w:b w:val="0"/>
          <w:i w:val="0"/>
          <w:color w:val="000000"/>
          <w:sz w:val="22"/>
        </w:rPr>
        <w:t>A notable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However, because TCGA data are bulk RNA-seq, this apparent convergence has multiple non-exclusive explanations beyond true transcriptional convergence: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We therefore interpret these results as exploratory observations at bulk resolution, and note that single-cell or deconvolution-based analyses would be needed to disentangle genuine transcriptional convergence from cell-composition artifacts.</w:t>
      </w:r>
    </w:p>
    <w:p>
      <w:pPr>
        <w:spacing w:line="276" w:lineRule="auto" w:after="60"/>
        <w:ind w:firstLine="0"/>
      </w:pPr>
      <w:r>
        <w:rPr>
          <w:rFonts w:ascii="Arial" w:hAnsi="Arial"/>
          <w:b w:val="0"/>
          <w:i w:val="0"/>
          <w:color w:val="000000"/>
          <w:sz w:val="22"/>
        </w:rPr>
        <w:t>Paired tumor-normal comparisons yielded higher ω than unpaired comparisons in four of five cancer types (paired/unpaired ratio = 0.99–3.25).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60"/>
        <w:ind w:firstLine="0"/>
      </w:pPr>
      <w:r>
        <w:rPr>
          <w:rFonts w:ascii="Arial" w:hAnsi="Arial"/>
          <w:b w:val="0"/>
          <w:i w:val="0"/>
          <w:color w:val="000000"/>
          <w:sz w:val="22"/>
        </w:rPr>
        <w:t>We then asked whether ω tracks with clinical severity within cancer types. In liver cancer, ω decreased with increasing Edmondson grade (10): G1 (101.8 ± 46.8, n = 39) &gt; G2 (100.2 ± 63.9, n = 133) &gt; G3 (96.8 ± 58.2, n = 105) &gt; G4 (90.0 ± 57.8, n = 11; Jonckheere-Terpstra trend test, P &lt; 0.001). In breast cancer, PAM50 subtype analysis (11,12)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240" w:after="120"/>
      </w:pPr>
      <w:r>
        <w:rPr>
          <w:rFonts w:ascii="Arial" w:hAnsi="Arial"/>
          <w:color w:val="000000"/>
          <w:sz w:val="28"/>
          <w:b/>
        </w:rPr>
        <w:t>CKI ranks cell types by cross-organ conservation</w:t>
      </w:r>
    </w:p>
    <w:p>
      <w:pPr>
        <w:spacing w:before="240" w:after="120"/>
      </w:pPr>
      <w:r>
        <w:rPr>
          <w:rFonts w:ascii="Arial" w:hAnsi="Arial"/>
          <w:b/>
          <w:sz w:val="18"/>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20"/>
      </w:pPr>
    </w:p>
    <w:p>
      <w:pPr>
        <w:spacing w:line="276" w:lineRule="auto" w:after="6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6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(36). We note that several cell types in this ranking have very few cross-organ pairs (n = 1–3; e.g., Memory B cells n = 1, Smooth muscle n = 1), and their mean ω estimates are correspondingly unreliable. We recommend interpreting the ranking of cell types with n &lt; 5 as suggestive only, and prioritizing the relative ordering of well-sampled cell types (n ≥ 5) for biological conclusions.</w:t>
      </w:r>
    </w:p>
    <w:p>
      <w:pPr>
        <w:spacing w:line="276" w:lineRule="auto" w:after="6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neutral baseline k_n is low, even modest functional differences can produce a high ω. This normalization reveals patterns that raw expression similarity misses.</w:t>
      </w:r>
    </w:p>
    <w:p>
      <w:pPr>
        <w:pStyle w:val="Heading2"/>
        <w:spacing w:before="240" w:after="120"/>
      </w:pPr>
      <w:r>
        <w:rPr>
          <w:rFonts w:ascii="Arial" w:hAnsi="Arial"/>
          <w:color w:val="000000"/>
          <w:sz w:val="28"/>
          <w:b/>
        </w:rPr>
        <w:t>Brain regional analysis reveals cell-type differentiation gradients</w:t>
      </w:r>
    </w:p>
    <w:p>
      <w:pPr>
        <w:spacing w:line="276" w:lineRule="auto" w:after="60"/>
        <w:ind w:firstLine="0"/>
      </w:pPr>
      <w:r>
        <w:rPr>
          <w:rFonts w:ascii="Arial" w:hAnsi="Arial"/>
          <w:b w:val="0"/>
          <w:i w:val="0"/>
          <w:color w:val="000000"/>
          <w:sz w:val="22"/>
        </w:rPr>
        <w:t>We applied CKI to the Siletti et al. human brain single-nucleus RNA-seq atlas (9),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(Fig. 6).</w:t>
      </w:r>
    </w:p>
    <w:p>
      <w:pPr>
        <w:spacing w:line="276" w:lineRule="auto" w:after="60"/>
        <w:ind w:firstLine="0"/>
      </w:pPr>
      <w:r>
        <w:rPr>
          <w:rFonts w:ascii="Arial" w:hAnsi="Arial"/>
          <w:b w:val="0"/>
          <w:i w:val="0"/>
          <w:color w:val="000000"/>
          <w:sz w:val="22"/>
        </w:rPr>
        <w:t>The analysis revealed a pronounced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6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(8.01) is lower than the astrocyte mean (14.36) because it is dominated by cell types with many pairs and low ω (e.g., fibroblasts n = 3,403 at 3.99, vascular cells n = 3,321 at 3.40); it is not a contradiction but a consequence of the skewed distribution of pair counts across cell types.</w:t>
      </w:r>
    </w:p>
    <w:p>
      <w:pPr>
        <w:spacing w:line="276" w:lineRule="auto" w:after="6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240" w:after="120"/>
      </w:pPr>
      <w:r>
        <w:rPr>
          <w:rFonts w:ascii="Arial" w:hAnsi="Arial"/>
          <w:color w:val="000000"/>
          <w:sz w:val="28"/>
          <w:b/>
        </w:rPr>
        <w:t>CKI detects developmental origin signatures across brain regions</w:t>
      </w:r>
    </w:p>
    <w:p>
      <w:pPr>
        <w:spacing w:line="276" w:lineRule="auto" w:after="6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pPr>
        <w:spacing w:line="276" w:lineRule="auto" w:after="6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w:t>
      </w:r>
    </w:p>
    <w:p>
      <w:pPr>
        <w:spacing w:line="276" w:lineRule="auto" w:after="60"/>
        <w:ind w:firstLine="0"/>
      </w:pPr>
      <w:r>
        <w:rPr>
          <w:rFonts w:ascii="Arial" w:hAnsi="Arial"/>
          <w:b w:val="0"/>
          <w:i w:val="0"/>
          <w:color w:val="000000"/>
          <w:sz w:val="22"/>
        </w:rPr>
        <w:t>Among 31,764 cross-region comparisons, 30 (0.09%) were classified as Strong migration candidates: Astrocyte (6), fibroblast (1), microglia (10), oligodendrocyte (10), and vascular cells (3). Another 1,247 pairs (3.93%) were Moderate candidates, and 6,567 (20.67%) were Weak candidates. Permutation testing (B = 10,000) with EVT extrapolation to resolve P-value saturation (see Methods) revealed that 16 of 30 Strong signals reached statistical significance (BH-FDR &lt; 0.05, m = 30 Strong-tier candidates): all 6 astrocyte and all 10 oligodendrocyte signals were highly significant (EVT-extrapolated P &lt; 1.0 × 10⁻⁴), while none of the 10 microglia, 1 fibroblast, or 3 vascular signals reached significance (all P ≥ 0.76, q = 1.0). This indicates that the astrocyte and oligodendrocyte signals reflect robust biological patterns, whereas the microglia, fibroblast, and vascular signals may represent stochastic variation within the threshold criteria.</w:t>
      </w:r>
    </w:p>
    <w:p>
      <w:pPr>
        <w:pStyle w:val="Heading3"/>
        <w:spacing w:before="240" w:after="120"/>
      </w:pPr>
      <w:r>
        <w:rPr>
          <w:rFonts w:ascii="Arial" w:hAnsi="Arial"/>
          <w:color w:val="000000"/>
          <w:sz w:val="24"/>
          <w:b/>
        </w:rPr>
        <w:t>OPCs: negative control supports method specificity</w:t>
      </w:r>
    </w:p>
    <w:p>
      <w:pPr>
        <w:spacing w:line="276" w:lineRule="auto" w:after="60"/>
        <w:ind w:firstLine="0"/>
      </w:pPr>
      <w:r>
        <w:rPr>
          <w:rFonts w:ascii="Arial" w:hAnsi="Arial"/>
          <w:b w:val="0"/>
          <w:i w:val="0"/>
          <w:color w:val="000000"/>
          <w:sz w:val="22"/>
        </w:rPr>
        <w:t>Oligodendrocyte precursor cells (OPCs) are the most actively migrating cells in the adult CNS, continuously surveilling their environment along vascular scaffolds (13,17). Yet CKI detected 0 Strong signals among 5,671 OPC cross-region comparisons—a finding that provides a useful orthogonal validation of the multiplicative residual model. The model is not simply detecting high ω values or absolute transcriptional differences; it identifies cell-type/region-pair combinations where the observed functional divergence is substantially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(35).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240" w:after="120"/>
      </w:pPr>
      <w:r>
        <w:rPr>
          <w:rFonts w:ascii="Arial" w:hAnsi="Arial"/>
          <w:color w:val="000000"/>
          <w:sz w:val="24"/>
          <w:b/>
        </w:rPr>
        <w:t>Oligodendrocytes: developmental origin rather than migration</w:t>
      </w:r>
    </w:p>
    <w:p>
      <w:pPr>
        <w:spacing w:line="276" w:lineRule="auto" w:after="60"/>
        <w:ind w:firstLine="0"/>
      </w:pPr>
      <w:r>
        <w:rPr>
          <w:rFonts w:ascii="Arial" w:hAnsi="Arial"/>
          <w:b w:val="0"/>
          <w:i w:val="0"/>
          <w:color w:val="000000"/>
          <w:sz w:val="22"/>
        </w:rPr>
        <w:t>Mature oligodendrocytes contributed 10 Strong signals (residual 0.237–0.292), all of which reached statistical significance in permutation testing (EVT-extrapolated P &lt; 1.0 × 10⁻⁴, FDR &lt; 0.05). The prevailing view is that adult oligodendrocytes do not migrate between brain regions. We systematically cross-validated all 10 Strong pairs against the developmental neurobiology literature. Notably, all 10 signals involved cortex/thalamus (A13/A14/A19/A32/A40/Idg vs. Pul/LP) or brainstem-internal (MoRF-MoEN vs. PnRF) pairings—precisely the anatomical boundaries between dorsal- and ventral-derived oligodendrocyte populations. Foerster et al. (35)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pPr>
        <w:pStyle w:val="Heading3"/>
        <w:spacing w:before="240" w:after="120"/>
      </w:pPr>
      <w:r>
        <w:rPr>
          <w:rFonts w:ascii="Arial" w:hAnsi="Arial"/>
          <w:color w:val="000000"/>
          <w:sz w:val="24"/>
          <w:b/>
        </w:rPr>
        <w:t>Astrocytes: regional specialization with developmental origins</w:t>
      </w:r>
    </w:p>
    <w:p>
      <w:pPr>
        <w:spacing w:line="276" w:lineRule="auto" w:after="60"/>
        <w:ind w:firstLine="0"/>
      </w:pPr>
      <w:r>
        <w:rPr>
          <w:rFonts w:ascii="Arial" w:hAnsi="Arial"/>
          <w:b w:val="0"/>
          <w:i w:val="0"/>
          <w:color w:val="000000"/>
          <w:sz w:val="22"/>
        </w:rPr>
        <w:t>Astrocytes showed the highest global ω (14.36, 95% CI [14.14, 14.58]) yet contributed 6 Strong signals, all of which reached statistical significance (EVT-extrapolated P &lt; 1.0 × 10⁻⁴, FDR &lt; 0.05). These signals were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(41). Endo et al. (18)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240" w:after="120"/>
      </w:pPr>
      <w:r>
        <w:rPr>
          <w:rFonts w:ascii="Arial" w:hAnsi="Arial"/>
          <w:color w:val="000000"/>
          <w:sz w:val="24"/>
          <w:b/>
        </w:rPr>
        <w:t>Bergmann glia: cerebellar molecular topography</w:t>
      </w:r>
    </w:p>
    <w:p>
      <w:pPr>
        <w:spacing w:line="276" w:lineRule="auto" w:after="60"/>
        <w:ind w:firstLine="0"/>
      </w:pPr>
      <w:r>
        <w:rPr>
          <w:rFonts w:ascii="Arial" w:hAnsi="Arial"/>
          <w:b w:val="0"/>
          <w:i w:val="0"/>
          <w:color w:val="000000"/>
          <w:sz w:val="22"/>
        </w:rPr>
        <w:t>Bergmann glia had the lowest global ω (2.37) and only one Strong signal (CBL vs. CBV, residual = 0.274), consistent with their developmentally fixed, transcriptionally constrained state in the adult cerebellum (19). Bergmann glia are patterned into topographic molecular zones that align with cerebellar functional compartments (41),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pPr>
        <w:pStyle w:val="Heading3"/>
        <w:spacing w:before="240" w:after="120"/>
      </w:pPr>
      <w:r>
        <w:rPr>
          <w:rFonts w:ascii="Arial" w:hAnsi="Arial"/>
          <w:color w:val="000000"/>
          <w:sz w:val="24"/>
          <w:b/>
        </w:rPr>
        <w:t>Microglia: developmental colonization wave boundaries</w:t>
      </w:r>
    </w:p>
    <w:p>
      <w:pPr>
        <w:spacing w:line="276" w:lineRule="auto" w:after="60"/>
        <w:ind w:firstLine="0"/>
      </w:pPr>
      <w:r>
        <w:rPr>
          <w:rFonts w:ascii="Arial" w:hAnsi="Arial"/>
          <w:b w:val="0"/>
          <w:i w:val="0"/>
          <w:color w:val="000000"/>
          <w:sz w:val="22"/>
        </w:rPr>
        <w:t>Microglia contributed 10 Strong signals by the threshold criteria; however, permutation testing revealed that none reached statistical significance (all P ≥ 0.76, q = 1.0). This indicates that microglial regional ω values, while occasionally falling below the multiplicative model's expectation, do not depart from expectation more than would be expected from random label assignment. We therefore present the following biological interpretation as an exploratory hypothesis rather than a statistically supported finding. Shemer and Jung (37) comprehensively reviewed the molecular determinants of microglial developmental colonization, identifying three major invasion routes: the pial surface, the ventricular zone, and the vasculature. Colonization proceeds in a rostral-to-caudal wave, with forebrain regions colonized earlier than midbrain and hindbrain structures (20). Barry-Carroll et al. (40) demonstrated that microglial colonization occurs through clonal expansion of highly proliferative precursors, with spatial constraints limiting clone mixing between regions. If the observed microglia Strong signals reflect genuine biological structure, they would systematically trace this rostral-to-caudal colonization gradient: 7 of 10 signals involve cortex (A5-A7, A14, A23, A29-A30) paired with midbrain/pontine structures (IC, DTg, PnAN, PnEN, MoRF-MoEN). The inferior colliculus (IC) appears in 4 of 10 pairs and could represent a contact zone where forebrain-derived and hindbrain-derived colonization waves meet. However, given the lack of statistical significance, these patterns may reflect stochastic variation in the high-dimensional ω landscape rather than reproducible biological signals. Validation through independent datasets or lineage tracing experiments would be required to confirm these colonization boundary hypotheses.</w:t>
      </w:r>
    </w:p>
    <w:p>
      <w:pPr>
        <w:pStyle w:val="Heading3"/>
        <w:spacing w:before="240" w:after="120"/>
      </w:pPr>
      <w:r>
        <w:rPr>
          <w:rFonts w:ascii="Arial" w:hAnsi="Arial"/>
          <w:color w:val="000000"/>
          <w:sz w:val="24"/>
          <w:b/>
        </w:rPr>
        <w:t>Vascular cells: blood-brain barrier regional identity</w:t>
      </w:r>
    </w:p>
    <w:p>
      <w:pPr>
        <w:spacing w:line="276" w:lineRule="auto" w:after="60"/>
        <w:ind w:firstLine="0"/>
      </w:pPr>
      <w:r>
        <w:rPr>
          <w:rFonts w:ascii="Arial" w:hAnsi="Arial"/>
          <w:b w:val="0"/>
          <w:i w:val="0"/>
          <w:color w:val="000000"/>
          <w:sz w:val="22"/>
        </w:rPr>
        <w:t>Vascular cells contributed 3 Strong signals by threshold criteria, all involving ITG (inferior temporal gyrus, cortical) paired with brainstem structures (PB, PnRF, SN). However, none reached statistical significance in permutation testing (all P = 1.0, q = 1.0). Adult brain endothelial cells have a proliferation rate of ~0.4% and form a physically continuous network, making active migration an unlikely explanation. Schaffenrath et al. (39)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The low inter-regional ω values (1.75–1.80) indicate that the core vascular transcriptional program is highly conserved, with functional divergence detectable only as modest deviations from the global vascular ω baseline. However, the lack of statistical significance suggests that these signals may reflect the inherently low variance of vascular ω rather than specific developmental boundary effects.</w:t>
      </w:r>
    </w:p>
    <w:p>
      <w:pPr>
        <w:pStyle w:val="Heading3"/>
        <w:spacing w:before="240" w:after="120"/>
      </w:pPr>
      <w:r>
        <w:rPr>
          <w:rFonts w:ascii="Arial" w:hAnsi="Arial"/>
          <w:color w:val="000000"/>
          <w:sz w:val="24"/>
          <w:b/>
        </w:rPr>
        <w:t>Fibroblast: exploratory postnatal migration signal</w:t>
      </w:r>
    </w:p>
    <w:p>
      <w:pPr>
        <w:spacing w:line="276" w:lineRule="auto" w:after="60"/>
        <w:ind w:firstLine="0"/>
      </w:pPr>
      <w:r>
        <w:rPr>
          <w:rFonts w:ascii="Arial" w:hAnsi="Arial"/>
          <w:b w:val="0"/>
          <w:i w:val="0"/>
          <w:color w:val="000000"/>
          <w:sz w:val="22"/>
        </w:rPr>
        <w:t>Perivascular fibroblasts contributed 1 Strong signal by threshold criteria (A40 vs. SN, residual = 0.299), but this signal did not reach statistical significance (P = 1.0, q = 1.0). Jones et al. (38) demonstrated that brain perivascular fibroblasts originate from the meninges and migrate along penetrating vessels into the brain parenchyma during postnatal development. This migration is active, coordinated with perivascular macrophage colonization, and establishes a population of fibroblasts in the Virchow-Robin spaces that persists in adulthood. If the A40 (prefrontal cortex) vs. SN (substantia nigra) signal reflects genuine biology, it could represent fibroblasts that entered these anatomically distant regions along different branches of the cerebral vasculature from a shared meningeal origin. However, the lack of statistical significance, combined with the small fibroblast population (8,156 nuclei across 83 regions), means this signal should be considered exploratory. The detection of threshold-passing but non-significant signals from sparse populations highlights the importance of permutation-based validation for the multiplicative residual model.</w:t>
      </w:r>
    </w:p>
    <w:p>
      <w:pPr>
        <w:pStyle w:val="Heading1"/>
        <w:spacing w:before="240" w:after="120"/>
      </w:pPr>
      <w:r>
        <w:rPr>
          <w:rFonts w:ascii="Arial" w:hAnsi="Arial"/>
          <w:color w:val="000000"/>
          <w:sz w:val="32"/>
          <w:b/>
        </w:rPr>
        <w:t>Discussion</w:t>
      </w:r>
    </w:p>
    <w:p>
      <w:pPr>
        <w:spacing w:line="276" w:lineRule="auto" w:after="6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genes provide a built-in baseline reference: HK genes are under stabilizing selection that constrains their expression variance across conditions, making them a practical constrained baseline against which functional divergence can be measured. This strategy is heuristically inspired by the use of synonymous sites as a baseline in Ka/Ks analysis, This decomposition lets us ask not just "how different are these two populations?" but "how much of that difference is functionally informative versus baseline?" Importantly, CKI is a heuristic index, not a formal measure of Darwinian selection. Unlike Ka/Ks—where a shared mutation rate (μ) cancels mathematically in the ratio, leaving a pure selection signal—CKI lacks an analogous cancellation mechanism. Its ω = 1 does not carry population-genetic meaning of neutrality. The empirical calibration experiment (split-half equivalent populations, n = 6) yielded a mean ω = 6.67, demonstrating that k_f systematically exceeds k_n even for identical populations due to HVG gene selection. We use ω ≪ calibration and ω ≫ calibration as operational anchors for functional constraint and enhanced divergence, respectively, not as claims about Darwinian selection regimes.</w:t>
      </w:r>
    </w:p>
    <w:p>
      <w:pPr>
        <w:spacing w:line="276" w:lineRule="auto" w:after="6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6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(21); CKI operates on continuous expression vectors without an evolutionary substitution model. Second, the baseline reference in Ka/Ks has a mechanistic basis in the genetic code (synonymous sites are neutral because they do not alter the protein), whereas HK genes are defined empirically by data-driven criteria (high detection rate, low coefficient of variation) and lack a comparable mechanistic argument for neutrality. HK genes may be subject to stabilizing selection on expression levels, and their expression variance could in principle reflect regulatory constraints rather than pure neutral drift. We partly address this through sensitivity analysis showing that CKI results are robust to alternative HK definitions (using the lowest 10% variable genes as a neutral set yielded ω correlations r &gt; 0.95), and by noting that HK genes are specifically selected for low variance across conditions, providing a practical (though not mechanistic) constrained baseline for measuring functional divergence. Nevertheless, the absence of a formal neutral model means that ω values should be interpreted as relative measures of functional divergence, not as direct estimates of selection strength. Third, CKI currently lacks a formal phylogenetic framework analogous to Ornstein-Uhlenbeck models that dominate expression evolution analysis. Integrating CKI’s baseline-normalized decomposition with OU-based selection strength estimation is a promising direction for future theoretical development. Fourth, CKI ω is computed on different gene sets per comparison (pairwise DE genes for k_f), which limits cross-comparison absolute interpretability; users should compare ω ranks rather than absolute values across datasets. Despite these caveats, CKI’s heuristic framework provides a practical tool for identifying functionally informative transcriptomic divergence that standard metrics systematically miss.</w:t>
      </w:r>
    </w:p>
    <w:p>
      <w:pPr>
        <w:spacing w:line="276" w:lineRule="auto" w:after="60"/>
        <w:ind w:firstLine="0"/>
      </w:pPr>
      <w:r>
        <w:rPr>
          <w:rFonts w:ascii="Arial" w:hAnsi="Arial"/>
          <w:b w:val="0"/>
          <w:i w:val="0"/>
          <w:color w:val="000000"/>
          <w:sz w:val="22"/>
        </w:rPr>
        <w:t>CKI complements rather than replaces existing methods. SAMap (15) and SATURN (3) excel at cross-species alignment; CACIMAR (22)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6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w:t>
      </w:r>
    </w:p>
    <w:p>
      <w:pPr>
        <w:spacing w:line="276" w:lineRule="auto" w:after="6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The multiplicative residual model detected 30 Strong candidate signals by threshold criteria; permutation testing (B = 10,000, EVT-extrapolated) with BH-FDR correction within the Strong tier (m = 30) confirmed that 16 of these reached statistical significance (FDR &lt; 0.05). The 16 significant signals were exclusively from astrocytes (6/6) and oligodendrocytes (10/10), both reflecting developmental origin signatures: oligodendrocyte dorsal/ventral origin differences (35) explain all 10 oligodendrocyte Strong signals as cortex vs. thalamus/brainstem boundaries, while compartmentalized astrogenesis (18) explains the astrocyte thalamic and cerebellar signals. In contrast, 10 microglia, 1 fibroblast, and 3 vascular threshold-passing signals did not reach statistical significance (all P ≥ 0.76), suggesting they may reflect stochastic variation rather than robust biological patterns. Importantly, OPCs—the most actively migrating cells in the adult CNS (13,17)—yielded 0 Strong signals among 5,671 comparisons, providing a notable orthogonal validation that the residual model specifically detects fixed developmental signatures rather than ongoing cell motility. These results demonstrate that CKI detects persistent transcriptional signatures of developmental history—origin and specification—embedded in adult transcriptomic data, and that permutation-based validation is essential for distinguishing robust biological signals from threshold-passing noise. Preliminary cross-species validation (Supplementary Fig. S2) showed that ω rankings are moderately conserved between mouse and human for shared cell types, though absolute ω values differ due to different computation schemes (per-pair for mouse, hybrid for human).</w:t>
      </w:r>
    </w:p>
    <w:p>
      <w:pPr>
        <w:spacing w:line="276" w:lineRule="auto" w:after="6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(4)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neutral set yielded ω correlations r &gt; 0.95). Third, the use of highly variable genes (HVGs) for k_f introduces systematic inflation: the calibration controls (random split of the same population) yielded a mean ω = 6.67, demonstrating that k_f systematically exceeds k_n even for identical populations. This inflation is a direct consequence of pre-selecting genes with high cross-cell variance. The permutation test accounts for this by comparing observed ω against a null distribution constructed under the same gene selection procedure with randomly permuted labels.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developmental time courses would provide stronger evidence for migration inference. Sixth, the brain regional analysis generated 31,764 cross-region comparisons. Benjamini-Hochberg FDR correction was applied within each dataset separately (bootstrap: m = 10 for brain, 17 for human, 15 for mouse; residual model: m = 30 for Strong tier, EVT-extrapolated). The 30 Strong candidates from the multiplicative residual model represent the most extreme deviations from the expected log-linear relationship between regional divergence and physical distance;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across all datasets (brain skewness = 2.22, excess kurtosis = 7.28; Shapiro-Wilk and D’Agostino-Pearson tests reject normality at P &lt; 0.001). Consequently, Cohen’s d is reported as a descriptive measure of effect size rather than a parametric test statistic. Eighth, permutation testing of the residual model (B = 10,000 per-signal empirical P-values, Benjamini-Hochberg FDR across all 31,764 pairs) revealed that 14 of 30 Strong threshold-passing signals—comprising all 10 microglia, 1 fibroblast, and 3 vascular signals—did not reach statistical significance (all P ≥ 0.76, q = 1.0). These signals should be interpreted with caution as they may reflect stochastic variation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5,778 pairs). Tenth, the empirical calibration baseline (ω = 6.67) is derived from only n = 6 split-half controls in a single species (mouse); while calibrated omega (ω_cal = ω / 6.67) restores the interpretability of the ratio framework, the baseline may vary across tissues, species, and sequencing platforms, and a larger multi-dataset calibration study would strengthen the generality of this constant.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the hybrid scheme used for human and TCGA analyses computes k_n globally (constant across all pairs), which reduces ω to a scaled k_f ranking; per-pair k_n analysis in the brain data (CV = 97.35%) showed that pair-specific k_n varies substantially and yields substantially different ω rankings (Spearman ρ = −0.027 vs. global-kn ω), confirming that the per-pair approach used for brain analysis is more informative but also more computationally expensive.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and OPC negative control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6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240" w:after="120"/>
      </w:pPr>
      <w:r>
        <w:rPr>
          <w:rFonts w:ascii="Arial" w:hAnsi="Arial"/>
          <w:color w:val="000000"/>
          <w:sz w:val="32"/>
          <w:b/>
        </w:rPr>
        <w:t>Data availability</w:t>
      </w:r>
    </w:p>
    <w:p>
      <w:pPr>
        <w:spacing w:line="276" w:lineRule="auto" w:after="60"/>
        <w:ind w:firstLine="0"/>
      </w:pPr>
      <w:r>
        <w:rPr>
          <w:rFonts w:ascii="Arial" w:hAnsi="Arial"/>
          <w:b w:val="0"/>
          <w:i w:val="0"/>
          <w:color w:val="000000"/>
          <w:sz w:val="22"/>
        </w:rPr>
        <w:t>Tabula Muris data: GEO accession GSE109774. Tabula Sapiens data: CZ CELLxGENE Discover (https://cellxgene.cziscience.com/) (33). TCGA data: NCI Genomic Data Commons (https://portal.gdc.cancer.gov/). HRT Atlas (optional human/mouse HK reference): https://www.housekeeping.unicamp.br. Human brain atlas: CZ CELLxGENE Discover (collection ID as referenced in (9)). PAM50 centroids: from Parker et al. (11). MSigDB Hallmark gene sets: from Liberzon et al. (34). The CKI source code (v0.3.1) is publicly available at https://github.com/zhanglknt/CKI-cell-type-identification (tag v0.3.1) under the MIT License. A permanent archival copy has been deposited at Zenodo (DOI: 10.5281/zenodo.15670808). The package requires Python 3.8+ and runs on Linux, macOS, and Windows. All analysis notebooks and processed data matrices are included in the Supplementary Data.</w:t>
      </w:r>
    </w:p>
    <w:p>
      <w:pPr>
        <w:pStyle w:val="Heading1"/>
        <w:spacing w:before="240" w:after="120"/>
      </w:pPr>
      <w:r>
        <w:rPr>
          <w:rFonts w:ascii="Arial" w:hAnsi="Arial"/>
          <w:color w:val="000000"/>
          <w:sz w:val="32"/>
          <w:b/>
        </w:rPr>
        <w:t>Supplementary Data</w:t>
      </w:r>
    </w:p>
    <w:p>
      <w:pPr>
        <w:spacing w:line="276" w:lineRule="auto" w:after="60"/>
        <w:ind w:firstLine="0"/>
      </w:pPr>
      <w:r>
        <w:rPr>
          <w:rFonts w:ascii="Arial" w:hAnsi="Arial"/>
          <w:b w:val="0"/>
          <w:i w:val="0"/>
          <w:color w:val="000000"/>
          <w:sz w:val="22"/>
        </w:rPr>
        <w:t>Supplementary Data are available at NAR Online.</w:t>
      </w:r>
    </w:p>
    <w:p>
      <w:pPr>
        <w:pStyle w:val="Heading1"/>
        <w:spacing w:before="240" w:after="120"/>
      </w:pPr>
      <w:r>
        <w:rPr>
          <w:rFonts w:ascii="Arial" w:hAnsi="Arial"/>
          <w:color w:val="000000"/>
          <w:sz w:val="32"/>
          <w:b/>
        </w:rPr>
        <w:t>Acknowledgements</w:t>
      </w:r>
    </w:p>
    <w:p>
      <w:pPr>
        <w:spacing w:line="276" w:lineRule="auto" w:after="6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w:t>
      </w:r>
    </w:p>
    <w:p>
      <w:pPr>
        <w:pStyle w:val="Heading1"/>
        <w:spacing w:before="240" w:after="120"/>
      </w:pPr>
      <w:r>
        <w:rPr>
          <w:rFonts w:ascii="Arial" w:hAnsi="Arial"/>
          <w:color w:val="000000"/>
          <w:sz w:val="32"/>
          <w:b/>
        </w:rPr>
        <w:t>Author contributions</w:t>
      </w:r>
    </w:p>
    <w:p>
      <w:pPr>
        <w:spacing w:line="276" w:lineRule="auto" w:after="6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240" w:after="120"/>
      </w:pPr>
      <w:r>
        <w:rPr>
          <w:rFonts w:ascii="Arial" w:hAnsi="Arial"/>
          <w:color w:val="000000"/>
          <w:sz w:val="32"/>
          <w:b/>
        </w:rPr>
        <w:t>Funding</w:t>
      </w:r>
    </w:p>
    <w:p>
      <w:pPr>
        <w:spacing w:line="276" w:lineRule="auto" w:after="6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240" w:after="120"/>
      </w:pPr>
      <w:r>
        <w:rPr>
          <w:rFonts w:ascii="Arial" w:hAnsi="Arial"/>
          <w:color w:val="000000"/>
          <w:sz w:val="32"/>
          <w:b/>
        </w:rPr>
        <w:t>Conflict of interest</w:t>
      </w:r>
    </w:p>
    <w:p>
      <w:pPr>
        <w:spacing w:line="276" w:lineRule="auto" w:after="60"/>
        <w:ind w:firstLine="0"/>
      </w:pPr>
      <w:r>
        <w:rPr>
          <w:rFonts w:ascii="Arial" w:hAnsi="Arial"/>
          <w:b w:val="0"/>
          <w:i w:val="0"/>
          <w:color w:val="000000"/>
          <w:sz w:val="22"/>
        </w:rPr>
        <w:t>The authors declare no competing interests.</w:t>
      </w:r>
    </w:p>
    <w:p>
      <w:pPr>
        <w:pStyle w:val="Heading1"/>
        <w:spacing w:before="240" w:after="120"/>
      </w:pPr>
      <w:r>
        <w:rPr>
          <w:rFonts w:ascii="Arial" w:hAnsi="Arial"/>
          <w:color w:val="000000"/>
          <w:sz w:val="32"/>
          <w:b/>
        </w:rPr>
        <w:t>Figure legends</w:t>
      </w:r>
    </w:p>
    <w:p>
      <w:pPr>
        <w:spacing w:line="276" w:lineRule="auto" w:after="6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selective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neutral baseline. (E) ω distribution with ω = 1 (neutral) marked by dashed line.</w:t>
      </w:r>
    </w:p>
    <w:p>
      <w:pPr>
        <w:spacing w:line="276" w:lineRule="auto" w:after="6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neutral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6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(neutral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neutral (k_n) and functional (k_f) components.</w:t>
      </w:r>
    </w:p>
    <w:p>
      <w:pPr>
        <w:spacing w:line="276" w:lineRule="auto" w:after="6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Cohen's d effect sizes for NN vs. TT comparisons per cancer type. (E) Tissue-level pairwise ω matrix heatmap across five cancer types.</w:t>
      </w:r>
    </w:p>
    <w:p>
      <w:pPr>
        <w:spacing w:line="276" w:lineRule="auto" w:after="60"/>
        <w:ind w:firstLine="0"/>
      </w:pPr>
      <w:r>
        <w:rPr>
          <w:rFonts w:ascii="Arial" w:hAnsi="Arial"/>
          <w:b w:val="0"/>
          <w:i w:val="0"/>
          <w:color w:val="000000"/>
          <w:sz w:val="22"/>
        </w:rPr>
        <w:t>Figure 5. Cross-organ cell-type conservation. (A) CKI ω ranking of 17 cell types with cross-organ comparisons (n = 59 pairs) within the Tabula Sapiens human atlas.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6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240" w:after="120"/>
      </w:pPr>
      <w:r>
        <w:rPr>
          <w:rFonts w:ascii="Arial" w:hAnsi="Arial"/>
          <w:color w:val="000000"/>
          <w:sz w:val="32"/>
          <w:b/>
        </w:rPr>
        <w:t>Supplementary Figure legends</w:t>
      </w:r>
    </w:p>
    <w:p>
      <w:pPr>
        <w:spacing w:line="276" w:lineRule="auto" w:after="6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6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6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6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6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6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6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negative control,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spacing w:line="276" w:lineRule="auto" w:after="60"/>
        <w:ind w:firstLine="0"/>
      </w:pPr>
      <w:r>
        <w:rPr>
          <w:rFonts w:ascii="Arial" w:hAnsi="Arial"/>
          <w:b w:val="0"/>
          <w:i w:val="0"/>
          <w:color w:val="000000"/>
          <w:sz w:val="22"/>
        </w:rPr>
        <w:t>Supplementary Figure S8. ω distribution characterization. Histograms and Q-Q plots of ω distributions for brain, mouse, and human datasets, showing right-skewness and non-normality (Shapiro-Wilk and D’Agostino-Pearson tests, all P &lt; 0.001).</w:t>
      </w:r>
    </w:p>
    <w:p>
      <w:pPr>
        <w:spacing w:line="276" w:lineRule="auto" w:after="60"/>
        <w:ind w:firstLine="0"/>
      </w:pPr>
      <w:r>
        <w:rPr>
          <w:rFonts w:ascii="Arial" w:hAnsi="Arial"/>
          <w:b w:val="0"/>
          <w:i w:val="0"/>
          <w:color w:val="000000"/>
          <w:sz w:val="22"/>
        </w:rPr>
        <w:t>Supplementary Figure S9. Permutation null distribution for residual model. Distribution of multiplicative residuals under label permutation (B = 10,000), compared against observed residuals for Strong candidates.</w:t>
      </w:r>
    </w:p>
    <w:p>
      <w:pPr>
        <w:spacing w:line="276" w:lineRule="auto" w:after="6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60"/>
        <w:ind w:firstLine="0"/>
      </w:pPr>
      <w:r>
        <w:rPr>
          <w:rFonts w:ascii="Arial" w:hAnsi="Arial"/>
          <w:b w:val="0"/>
          <w:i w:val="0"/>
          <w:color w:val="000000"/>
          <w:sz w:val="22"/>
        </w:rPr>
        <w:t>Supplementary Figure S11. Per-pair k_n variability. (A) Per-pair k_n (mean ± SD) by cell type in the brain atlas, showing substantial cross-pair variability (CV = 97.35%). (B) Scatter plot of ω computed with per-pair k_n vs. global k_n (Spearman ρ = −0.027), demonstrating that pair-specific k_n yields substantially different rankings.</w:t>
      </w:r>
    </w:p>
    <w:p>
      <w:pPr>
        <w:spacing w:line="276" w:lineRule="auto" w:after="6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60"/>
        <w:ind w:firstLine="0"/>
      </w:pPr>
      <w:r>
        <w:rPr>
          <w:rFonts w:ascii="Arial" w:hAnsi="Arial"/>
          <w:b w:val="0"/>
          <w:i w:val="0"/>
          <w:color w:val="000000"/>
          <w:sz w:val="22"/>
        </w:rPr>
        <w:t>Statistical conventions. All P-values are from one-sided permutation tests (B = 1,000 for mouse/human/TCGA/brain; B = 10,000 for the multiplicative residual model) unless otherwise specified. Benjamini-Hochberg FDR correction was applied within each dataset. Non-parametric tests (Spearman correlation, Mann-Whitney U, Kruskal-Wallis, Jonckheere-Terpstra) are two-sided and reported with exact P-values; descriptive statistics are reported as mean ± SD or median [IQR] as indicated. Effect sizes include standardized effect size (SES = (ω_obs − mean(ω_null)) / sd(ω_null)) and Cohen's d (reported as descriptive due to ω non-normality). Bootstrap 95% confidence intervals use B = 10,000 resamples. All analyses use JS divergence with base-2 logarithm. Sample sizes (n) are reported for each comparison.</w:t>
      </w:r>
    </w:p>
    <w:p>
      <w:pPr>
        <w:pStyle w:val="Heading1"/>
        <w:spacing w:before="240" w:after="120"/>
      </w:pPr>
      <w:r>
        <w:rPr>
          <w:rFonts w:ascii="Arial" w:hAnsi="Arial"/>
          <w:color w:val="000000"/>
          <w:sz w:val="32"/>
          <w:b/>
        </w:rPr>
        <w:t>References</w:t>
      </w:r>
    </w:p>
    <w:p>
      <w:pPr>
        <w:spacing w:line="276" w:lineRule="auto" w:after="4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40"/>
      </w:pPr>
      <w:r>
        <w:rPr>
          <w:rFonts w:ascii="Arial" w:hAnsi="Arial"/>
          <w:color w:val="000000"/>
          <w:sz w:val="20"/>
        </w:rPr>
        <w:t>Lopez,R., Regier,J., Cole,M.B., Jordan,M.I. and Yosef,N. (2018) Deep generative modeling for single-cell transcriptomics. *Nat. Methods*, **15**, 1053–1058.</w:t>
      </w:r>
    </w:p>
    <w:p>
      <w:pPr>
        <w:spacing w:line="276" w:lineRule="auto" w:after="4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40"/>
      </w:pPr>
      <w:r>
        <w:rPr>
          <w:rFonts w:ascii="Arial" w:hAnsi="Arial"/>
          <w:color w:val="000000"/>
          <w:sz w:val="20"/>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40"/>
      </w:pPr>
      <w:r>
        <w:rPr>
          <w:rFonts w:ascii="Arial" w:hAnsi="Arial"/>
          <w:color w:val="000000"/>
          <w:sz w:val="20"/>
        </w:rPr>
        <w:t>Tabula Muris Consortium (2018) Single-cell transcriptomics of 20 mouse organs creates a Tabula Muris. *Nature*, **562**, 367–372.</w:t>
      </w:r>
    </w:p>
    <w:p>
      <w:pPr>
        <w:spacing w:line="276" w:lineRule="auto" w:after="40"/>
      </w:pPr>
      <w:r>
        <w:rPr>
          <w:rFonts w:ascii="Arial" w:hAnsi="Arial"/>
          <w:color w:val="000000"/>
          <w:sz w:val="20"/>
        </w:rPr>
        <w:t>Tabula Sapiens Consortium (2022) The Tabula Sapiens: a multiple-organ, single-cell transcriptomic atlas of humans. *Science*, **376**, eabl4896.</w:t>
      </w:r>
    </w:p>
    <w:p>
      <w:pPr>
        <w:spacing w:line="276" w:lineRule="auto" w:after="40"/>
      </w:pPr>
      <w:r>
        <w:rPr>
          <w:rFonts w:ascii="Arial" w:hAnsi="Arial"/>
          <w:color w:val="000000"/>
          <w:sz w:val="20"/>
        </w:rPr>
        <w:t>Cancer Genome Atlas Research Network (2014) Comprehensive molecular profiling of lung adenocarcinoma. *Nature*, **511**, 543–550.</w:t>
      </w:r>
    </w:p>
    <w:p>
      <w:pPr>
        <w:spacing w:line="276" w:lineRule="auto" w:after="40"/>
      </w:pPr>
      <w:r>
        <w:rPr>
          <w:rFonts w:ascii="Arial" w:hAnsi="Arial"/>
          <w:color w:val="000000"/>
          <w:sz w:val="20"/>
        </w:rPr>
        <w:t>Cancer Genome Atlas Network (2012) Comprehensive molecular portraits of human breast tumours. *Nature*, **490**, 61–70.</w:t>
      </w:r>
    </w:p>
    <w:p>
      <w:pPr>
        <w:spacing w:line="276" w:lineRule="auto" w:after="4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40"/>
      </w:pPr>
      <w:r>
        <w:rPr>
          <w:rFonts w:ascii="Arial" w:hAnsi="Arial"/>
          <w:color w:val="000000"/>
          <w:sz w:val="20"/>
        </w:rPr>
        <w:t>Edmondson,H.A. and Steiner,P.E. (1954) Primary carcinoma of the liver: a study of 100 cases among 48,900 necropsies. *Cancer*, **7**, 462–503.</w:t>
      </w:r>
    </w:p>
    <w:p>
      <w:pPr>
        <w:spacing w:line="276" w:lineRule="auto" w:after="4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4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4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4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4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4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4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4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4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4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40"/>
      </w:pPr>
      <w:r>
        <w:rPr>
          <w:rFonts w:ascii="Arial" w:hAnsi="Arial"/>
          <w:color w:val="000000"/>
          <w:sz w:val="20"/>
        </w:rPr>
        <w:t>Yang,Z. (2007) PAML 4: phylogenetic analysis by maximum likelihood. *Mol. Biol. Evol.*, **24**, 1586–1591.</w:t>
      </w:r>
    </w:p>
    <w:p>
      <w:pPr>
        <w:spacing w:line="276" w:lineRule="auto" w:after="4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40"/>
      </w:pPr>
      <w:r>
        <w:rPr>
          <w:rFonts w:ascii="Arial" w:hAnsi="Arial"/>
          <w:color w:val="000000"/>
          <w:sz w:val="20"/>
        </w:rPr>
        <w:t>Tan,Y.L., Yuan,Y. and Tian,L. (2020) Microglial regional heterogeneity and its role in the brain. *Mol. Psychiatry*, **25**, 351–367.</w:t>
      </w:r>
    </w:p>
    <w:p>
      <w:pPr>
        <w:spacing w:line="276" w:lineRule="auto" w:after="40"/>
      </w:pPr>
      <w:r>
        <w:rPr>
          <w:rFonts w:ascii="Arial" w:hAnsi="Arial"/>
          <w:color w:val="000000"/>
          <w:sz w:val="20"/>
        </w:rPr>
        <w:t>Storey,J.D. and Tibshirani,R. (2003) Statistical significance for genomewide studies. *Proc. Natl. Acad. Sci. USA*, **100**, 9440–9445.</w:t>
      </w:r>
    </w:p>
    <w:p>
      <w:pPr>
        <w:spacing w:line="276" w:lineRule="auto" w:after="40"/>
      </w:pPr>
      <w:r>
        <w:rPr>
          <w:rFonts w:ascii="Arial" w:hAnsi="Arial"/>
          <w:color w:val="000000"/>
          <w:sz w:val="20"/>
        </w:rPr>
        <w:t>Wolf,F.A., Angerer,P. and Theis,F.J. (2018) SCANPY: large-scale single-cell gene expression data analysis. *Genome Biol.*, **19**, 15.</w:t>
      </w:r>
    </w:p>
    <w:p>
      <w:pPr>
        <w:spacing w:line="276" w:lineRule="auto" w:after="4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4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4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4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40"/>
      </w:pPr>
      <w:r>
        <w:rPr>
          <w:rFonts w:ascii="Arial" w:hAnsi="Arial"/>
          <w:color w:val="000000"/>
          <w:sz w:val="20"/>
        </w:rPr>
        <w:t>Luecken,M.D. and Theis,F.J. (2019) Current best practices in single-cell RNA-seq analysis: a tutorial. *Mol. Syst. Biol.*, **15**, e8746.</w:t>
      </w:r>
    </w:p>
    <w:p>
      <w:pPr>
        <w:spacing w:line="276" w:lineRule="auto" w:after="4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4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4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40"/>
      </w:pPr>
      <w:r>
        <w:rPr>
          <w:rFonts w:ascii="Arial" w:hAnsi="Arial"/>
          <w:color w:val="000000"/>
          <w:sz w:val="20"/>
        </w:rPr>
        <w:t>Liberzon,A., Birger,C., Thorvaldsdóttir,H., Ghandi,M., Mesirov,J.P. and Tamayo,P. (2015) The Molecular Signatures Database Hallmark Gene Set Collection. *Cell Syst.*, **1**, 417–425.</w:t>
      </w:r>
    </w:p>
    <w:p>
      <w:pPr>
        <w:spacing w:line="276" w:lineRule="auto" w:after="4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4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40"/>
      </w:pPr>
      <w:r>
        <w:rPr>
          <w:rFonts w:ascii="Arial" w:hAnsi="Arial"/>
          <w:color w:val="000000"/>
          <w:sz w:val="20"/>
        </w:rPr>
        <w:t>Shemer,A. and Jung,S. (2024) The molecular determinants of microglial developmental colonization. *Nat. Rev. Neurosci.*, **25**, 414–427.</w:t>
      </w:r>
    </w:p>
    <w:p>
      <w:pPr>
        <w:spacing w:line="276" w:lineRule="auto" w:after="4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4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4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40"/>
      </w:pPr>
      <w:r>
        <w:rPr>
          <w:rFonts w:ascii="Arial" w:hAnsi="Arial"/>
          <w:color w:val="000000"/>
          <w:sz w:val="20"/>
        </w:rPr>
        <w:t>Reeber,S.L., Arancillo,M. and Sillitoe,R.V. (2015) Bergmann glia are patterned into topographic molecular zones in the cerebellum. *Cerebellum*, **14**, 392–403.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