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Baseline-Normalized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(4).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functional reprogramming; omega &gt;&gt; 1: functional divergence exceeds baseline drift, indicating evidence of functional transcriptional reprogramming beyond baseline;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SES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Per-signal empirical P-values were computed via permutation testing (B = 10,000); however, 36.3% of signals (11,541/31,764) reached the empirical P-value floor (P = 9.99 × 10⁻⁵), precluding meaningful Benjamini-Hochberg FDR correction. We therefore report unadjusted permutation P-values and interpret significance descriptively: 16 of 30 Strong-tier candidates reached the P-value floor (no null permutation exceeded the observed residual in 10,000 shuffles), while 14 signals showed no evidence of departure (all P ≥ 0.76).</w:t>
      </w:r>
    </w:p>
    <w:p>
      <w:r>
        <w:rPr>
          <w:rFonts w:ascii="Arial" w:hAnsi="Arial"/>
          <w:b w:val="0"/>
          <w:color w:val="000000"/>
          <w:sz w:val="22"/>
        </w:rPr>
        <w:t>Permutation-based validation of the multiplicative residual model was performed using B = 10,000 permutations. For each of the 31,764 brain region pairs, cell type labels were randomly shuffled within region pairs to construct a null distribution of residuals. Per-signal empirical P-values were computed as P = (count(null_residual ≤ observed_residual) + 1) / (B + 1). Of the 31,764 signals, 11,541 (36.3%) reached the empirical P-value floor (P = 9.99 × 10⁻⁵) of the B = 10,000 permutation test, precluding meaningful Benjamini-Hochberg FDR correction. We therefore interpret the permutation results descriptively: among the 30 Strong-tier candidates, 16 signals (6 astrocytes, 10 oligodendrocytes) reached the P-value floor, indicating strong evidence of deviation from the multiplicative null model, while 14 signals (10 microglia, 1 fibroblast, 3 vascular) showed no evidence of departure (P ≥ 0.76). Per-signal tests are not independent (the same cell type or region pair appears in multiple comparisons); we restrict biological interpretation to the 30 predefined Strong candidates. (Supplementary Figure 8: ω distribution characterization; Supplementary Figure 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(Shapiro-Wilk and D’Agostino-Pearson tests reject normality at P &lt; 0.001 for all datasets),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0.001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888,263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7,842 pairs (24.7%) were classified as migration candidates (residual &lt; 0.75): 30 strong signals (residual &lt; 0.3, 0.09%), 1,247 moderate signals (residual &lt; 0.5, 3.93%), and 6,567 weak signals (residual &lt; 0.75, 20.67%). Top-5 strongest migration signals by cell type (ranked by residual): 1) Astrocyte Human VLN vs. Human VPL (omega = 2.51, residual = 0.202), 2) Oligodendrocyte Human A19 vs. Human Pul (omega = 3.71, residual = 0.237), 3) Oligodendrocyte Human A32 vs. Human Pul (omega = 4.68, residual = 0.240), 4) Microglia Human DTg vs. Human TF (omega = 3.36, residual = 0.246), 5) Oligodendrocyte Human MoRF-MoEN vs. Human PnRF (omega = 2.52, residual = 0.249). Complete candidate dataset: results/brain_siletti_migration_candidates_v3.csv (7,842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