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2"/>
        </w:rPr>
        <w:t>CKI: A Cell-state Kinetic Index for Quantifying Baseline-Normalized Transcriptomic Remodeling</w:t>
      </w:r>
    </w:p>
    <w:p>
      <w:pPr>
        <w:jc w:val="center"/>
      </w:pPr>
      <w:r>
        <w:rPr>
          <w:rFonts w:ascii="Arial" w:hAnsi="Arial"/>
          <w:color w:val="000000"/>
          <w:sz w:val="44"/>
        </w:rPr>
        <w:t>Running title: CKI: Baseline-Normalized Divergence Index</w:t>
      </w:r>
    </w:p>
    <w:p>
      <w:pPr>
        <w:jc w:val="center"/>
      </w:pPr>
      <w:r>
        <w:rPr>
          <w:rFonts w:ascii="Arial" w:hAnsi="Arial"/>
          <w:color w:val="000000"/>
          <w:sz w:val="42"/>
        </w:rPr>
        <w:t>Xianming Wu</w:t>
      </w:r>
      <w:r>
        <w:rPr>
          <w:rFonts w:ascii="Arial" w:hAnsi="Arial"/>
          <w:color w:val="000000"/>
          <w:sz w:val="22"/>
          <w:vertAlign w:val="superscript"/>
        </w:rPr>
        <w:t>1</w:t>
      </w:r>
      <w:r>
        <w:t xml:space="preserve">, </w:t>
      </w:r>
      <w:r>
        <w:rPr>
          <w:rFonts w:ascii="Arial" w:hAnsi="Arial"/>
          <w:color w:val="000000"/>
          <w:sz w:val="42"/>
        </w:rPr>
        <w:t>Li Zhang</w:t>
      </w:r>
      <w:r>
        <w:rPr>
          <w:rFonts w:ascii="Arial" w:hAnsi="Arial"/>
          <w:color w:val="000000"/>
          <w:sz w:val="22"/>
          <w:vertAlign w:val="superscript"/>
        </w:rPr>
        <w:t>1</w:t>
      </w:r>
      <w:r>
        <w:rPr>
          <w:rFonts w:ascii="Arial" w:hAnsi="Arial"/>
          <w:color w:val="000000"/>
          <w:sz w:val="22"/>
          <w:vertAlign w:val="superscript"/>
        </w:rPr>
        <w:t>2</w:t>
      </w:r>
      <w:r>
        <w:rPr>
          <w:rFonts w:ascii="Arial" w:hAnsi="Arial"/>
          <w:color w:val="000000"/>
          <w:sz w:val="22"/>
          <w:vertAlign w:val="superscript"/>
        </w:rPr>
        <w:t>*</w:t>
      </w:r>
    </w:p>
    <w:p>
      <w:pPr>
        <w:jc w:val="center"/>
      </w:pPr>
      <w:r>
        <w:rPr>
          <w:rFonts w:ascii="Arial" w:hAnsi="Arial"/>
          <w:color w:val="000000"/>
          <w:sz w:val="44"/>
          <w:vertAlign w:val="superscript"/>
        </w:rPr>
        <w:t>1</w:t>
      </w:r>
      <w:r>
        <w:rPr>
          <w:rFonts w:ascii="Arial" w:hAnsi="Arial"/>
          <w:color w:val="000000"/>
          <w:sz w:val="44"/>
        </w:rPr>
        <w:t>Chinese Institute for Brain Research, Beijing, China</w:t>
      </w:r>
    </w:p>
    <w:p>
      <w:pPr>
        <w:jc w:val="center"/>
      </w:pPr>
      <w:r>
        <w:rPr>
          <w:rFonts w:ascii="Arial" w:hAnsi="Arial"/>
          <w:color w:val="000000"/>
          <w:sz w:val="44"/>
          <w:vertAlign w:val="superscript"/>
        </w:rPr>
        <w:t>2</w:t>
      </w:r>
      <w:r>
        <w:rPr>
          <w:rFonts w:ascii="Arial" w:hAnsi="Arial"/>
          <w:color w:val="000000"/>
          <w:sz w:val="44"/>
        </w:rPr>
        <w:t>Institute of Blood Transfusion, Chinese Academy of Medical Sciences &amp; Peking Union Medical College, Chengdu, China</w:t>
      </w:r>
    </w:p>
    <w:p>
      <w:pPr>
        <w:jc w:val="center"/>
      </w:pPr>
      <w:r>
        <w:rPr>
          <w:rFonts w:ascii="Arial" w:hAnsi="Arial"/>
          <w:color w:val="000000"/>
          <w:sz w:val="44"/>
        </w:rPr>
        <w:t>* To whom correspondence should be addressed. Email: knightz@pumc.edu.cn</w:t>
      </w:r>
    </w:p>
    <w:p>
      <w:pPr>
        <w:jc w:val="center"/>
      </w:pPr>
      <w:r>
        <w:rPr>
          <w:rFonts w:ascii="Arial" w:hAnsi="Arial"/>
          <w:color w:val="000000"/>
          <w:sz w:val="22"/>
        </w:rPr>
        <w:t>ORCID: 0000-0002-0698-0754</w:t>
      </w:r>
    </w:p>
    <w:p>
      <w:pPr>
        <w:pStyle w:val="Heading1"/>
        <w:spacing w:before="420" w:after="160"/>
      </w:pPr>
      <w:r>
        <w:rPr>
          <w:rFonts w:ascii="Arial" w:hAnsi="Arial"/>
          <w:color w:val="000000"/>
          <w:sz w:val="32"/>
          <w:b/>
        </w:rPr>
        <w:t>Graphical Abstract</w:t>
      </w:r>
    </w:p>
    <w:p>
      <w:pPr>
        <w:spacing w:line="276" w:lineRule="auto" w:after="80"/>
        <w:ind w:firstLine="0"/>
      </w:pPr>
      <w:r>
        <w:rPr>
          <w:rFonts w:ascii="Arial" w:hAnsi="Arial"/>
          <w:b w:val="0"/>
          <w:i w:val="0"/>
          <w:color w:val="000000"/>
          <w:sz w:val="22"/>
        </w:rPr>
        <w:t>[See separate Graphical Abstract file (CKI_graphical_abstract.pdf).]</w:t>
      </w:r>
    </w:p>
    <w:p>
      <w:pPr>
        <w:pStyle w:val="Heading1"/>
        <w:spacing w:before="420" w:after="160"/>
      </w:pPr>
      <w:r>
        <w:rPr>
          <w:rFonts w:ascii="Arial" w:hAnsi="Arial"/>
          <w:color w:val="000000"/>
          <w:sz w:val="32"/>
          <w:b/>
        </w:rPr>
        <w:t>Abstract</w:t>
      </w:r>
    </w:p>
    <w:p>
      <w:pPr>
        <w:spacing w:line="276" w:lineRule="auto" w:after="80"/>
        <w:ind w:firstLine="0"/>
      </w:pPr>
      <w:r>
        <w:rPr>
          <w:rFonts w:ascii="Arial" w:hAnsi="Arial"/>
          <w:b w:val="0"/>
          <w:i w:val="0"/>
          <w:color w:val="000000"/>
          <w:sz w:val="22"/>
        </w:rPr>
        <w:t>Comparing cell populations is fundamental in single-cell genomics, yet standard distance metrics conflate baseline variation with functional adaptation. Heuristically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totaling millions of cells. Calibration confirmed an empirical baseline for equivalent populations (mean ω = 6.67, all P &gt; 0.05), systematically inflated above the theoretical ω = 1 by highly variable gene pre-selection. CKI ω was negatively correlated with all standard distance metrics (Spearman r = −0.38 to −0.57, all P &lt; 0.001), indicating it captures an independent information dimension. Cancer analysis revealed transcriptional convergence across genetically diverse tumors. Brain regional analysis identified 30 cell-type-specific developmental signatures spanning four biological mechanisms (two reaching statistical significance) among 31,764 comparisons. CKI provides a principled framework for quantifying functional transcriptomic divergence relative to an internal baseline, available as an open-source Python package.</w:t>
      </w:r>
    </w:p>
    <w:p>
      <w:pPr>
        <w:jc w:val="center"/>
      </w:pPr>
      <w:r>
        <w:rPr>
          <w:rFonts w:ascii="Arial" w:hAnsi="Arial"/>
          <w:color w:val="000000"/>
          <w:sz w:val="44"/>
        </w:rPr>
        <w:t>Keywords: cell-state divergence, housekeeping genes, Jensen-Shannon decomposition, transcriptomic remodeling, single-cell genomics</w:t>
      </w:r>
    </w:p>
    <w:p>
      <w:pPr>
        <w:pStyle w:val="Heading1"/>
        <w:spacing w:before="420" w:after="160"/>
      </w:pPr>
      <w:r>
        <w:rPr>
          <w:rFonts w:ascii="Arial" w:hAnsi="Arial"/>
          <w:color w:val="000000"/>
          <w:sz w:val="32"/>
          <w:b/>
        </w:rPr>
        <w:t>Introduction</w:t>
      </w:r>
    </w:p>
    <w:p>
      <w:pPr>
        <w:spacing w:line="276" w:lineRule="auto" w:after="8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8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(1), where donor-level and batch-level variation often dominates over cell-type identity. Methods such as Harmony (2), scVI (3), and SATURN (4) have been developed specifically to remove such nuisance variation (5). However, after correction, a key question remains: how much of the remaining difference between two populations represents functional adaptation, and how much is simply neutral drift?</w:t>
      </w:r>
    </w:p>
    <w:p>
      <w:pPr>
        <w:spacing w:line="276" w:lineRule="auto" w:after="80"/>
        <w:ind w:firstLine="0"/>
      </w:pPr>
      <w:r>
        <w:rPr>
          <w:rFonts w:ascii="Arial" w:hAnsi="Arial"/>
          <w:b w:val="0"/>
          <w:i w:val="0"/>
          <w:color w:val="000000"/>
          <w:sz w:val="22"/>
        </w:rPr>
        <w:t>This question mirrors a problem addressed in molecular evolution. When comparing two DNA sequences, the Ka/Ks ratio (also called dN/dS) distinguishes nonsynonymous changes (Ka, which alter the protein) from synonymous changes (Ks, which are largely silent) (6).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80"/>
        <w:ind w:firstLine="0"/>
      </w:pPr>
      <w:r>
        <w:rPr>
          <w:rFonts w:ascii="Arial" w:hAnsi="Arial"/>
          <w:b w:val="0"/>
          <w:i w:val="0"/>
          <w:color w:val="000000"/>
          <w:sz w:val="22"/>
        </w:rPr>
        <w:t>We validated CKI across four scales, each testing a different aspect of the method. First, we calibrated CKI on Tabula Muris mouse data (7), confirming that random splits of the same cell population yield ω above 1 (empirical calibration baseline 6.67). Second, we extended CKI to Tabula Sapiens human data (8) and found that CKI ω is negatively correlated with all four standard distance metrics, demonstrating that it captures an independent information dimension. Third, we applied CKI to TCGA cancer data (9,10), revealing that tumors are paradoxically more transcriptionally homogeneous than normal tissues. Fourth, we used CKI to analyze a human brain single-nucleus atlas (11), measuring how the same cell types differ across brain regions and demonstrating that CKI can detect persistent developmental signatures—including developmental origin heterogeneity and compartmentalized developmental specification (both statistically significant), as well as colonization route boundaries and a postnatal migration event (exploratory, not statistically significant)—from adult transcriptomic data.</w:t>
      </w:r>
    </w:p>
    <w:p>
      <w:pPr>
        <w:pStyle w:val="Heading1"/>
        <w:spacing w:before="420" w:after="160"/>
      </w:pPr>
      <w:r>
        <w:rPr>
          <w:rFonts w:ascii="Arial" w:hAnsi="Arial"/>
          <w:color w:val="000000"/>
          <w:sz w:val="32"/>
          <w:b/>
        </w:rPr>
        <w:t>Materials and Methods</w:t>
      </w:r>
    </w:p>
    <w:p>
      <w:pPr>
        <w:pStyle w:val="Heading2"/>
        <w:spacing w:before="420" w:after="160"/>
      </w:pPr>
      <w:r>
        <w:rPr>
          <w:rFonts w:ascii="Arial" w:hAnsi="Arial"/>
          <w:color w:val="000000"/>
          <w:sz w:val="28"/>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(12). Pseudobulk vectors are computed by averaging expression across cells sharing the same cell-type annotation, requiring at least 10 cells per group. Housekeeping (HK) genes are loaded from the HRT Atlas v1.0 reference (13) (1,130 human-mouse conserved HK genes).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uses the base-2 logarithm (range [0, 1]).</w:t>
      </w:r>
    </w:p>
    <w:p>
      <w:pPr>
        <w:pStyle w:val="Heading2"/>
        <w:spacing w:before="420" w:after="160"/>
      </w:pPr>
      <w:r>
        <w:rPr>
          <w:rFonts w:ascii="Arial" w:hAnsi="Arial"/>
          <w:color w:val="000000"/>
          <w:sz w:val="28"/>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ranging from 50 to 5,000 showed that mean JS divergence is effectively constant (0.155–0.159, ratio = 1.001 between d = 1,130 and d = 2,000; Supplementary Fig. S10). This confirms that the systematic inflation of k_f relative to k_n (ω = 6.67 for equivalent populations) arises from HVG selection bias (selecting genes with high cross-cell variance) rather than from dimensional mismatch. The calibrated omega (ω_cal = ω / 6.67) absorbs this bias into the empirical baseline, and the permutation null—constructed using the same gene sets—ensures internal consistency.</w:t>
      </w:r>
    </w:p>
    <w:p>
      <w:pPr>
        <w:pStyle w:val="Heading2"/>
        <w:spacing w:before="420" w:after="160"/>
      </w:pPr>
      <w:r>
        <w:rPr>
          <w:rFonts w:ascii="Arial" w:hAnsi="Arial"/>
          <w:color w:val="000000"/>
          <w:sz w:val="28"/>
          <w:b/>
        </w:rPr>
        <w:t>Bootstrap permutation test</w:t>
      </w:r>
    </w:p>
    <w:p>
      <w:pPr>
        <w:spacing w:line="276" w:lineRule="auto" w:after="80"/>
        <w:ind w:firstLine="0"/>
      </w:pPr>
      <w:r>
        <w:rPr>
          <w:rFonts w:ascii="Arial" w:hAnsi="Arial"/>
          <w:b w:val="0"/>
          <w:i w:val="0"/>
          <w:color w:val="000000"/>
          <w:sz w:val="22"/>
        </w:rPr>
        <w:t>We randomly permute cell labels between the two populations (B = 1,000 for all datasets: mouse pilot of 15 cell-type pairs and 6 calibration controls, human Tabula Sapiens, TCGA, and brain atlas), recompute pseudobulk vectors, and calculate ω_null for each permutation. Empirical P-values are computed as one-sided permutation tests: P = (count(ω_null ≥ ω_obs) + 1)/(B + 1), where the +1 pseudocount avoids P = 0. The one-sided test is appropriate because our hypothesis is directional: we test whether observed ω exceeds the null expectation (equivalent populations), not whether it differs in either direction. Standardized effect size = (ω_obs − mean(ω_null)) / sd(ω_null). Benjamini-Hochberg false discovery rate (FDR) correction is applied within each dataset to account for multiple comparisons. For the larger-scale analyses (human, TCGA, brain), results are also supplemented with non-parametric statistical tests (Spearman correlation, Mann-Whitney U, Kruskal-Wallis, Jonckheere-Terpstra) and descriptive statistics (median, IQR, effect sizes).</w:t>
      </w:r>
    </w:p>
    <w:p>
      <w:pPr>
        <w:pStyle w:val="Heading2"/>
        <w:spacing w:before="420" w:after="160"/>
      </w:pPr>
      <w:r>
        <w:rPr>
          <w:rFonts w:ascii="Arial" w:hAnsi="Arial"/>
          <w:color w:val="000000"/>
          <w:sz w:val="28"/>
          <w:b/>
        </w:rPr>
        <w:t>Datasets</w:t>
      </w:r>
    </w:p>
    <w:p>
      <w:pPr>
        <w:spacing w:line="276" w:lineRule="auto" w:after="80"/>
        <w:ind w:firstLine="0"/>
      </w:pPr>
      <w:r>
        <w:rPr>
          <w:rFonts w:ascii="Arial" w:hAnsi="Arial"/>
          <w:b w:val="0"/>
          <w:i w:val="0"/>
          <w:color w:val="000000"/>
          <w:sz w:val="22"/>
        </w:rPr>
        <w:t>Tabula Muris FACS SmartSeq2 (7): 15,057 cells, 22,308 genes, 6 organs (liver, kidney, spleen, lung, heart, bone marrow). Post-QC: 32 cell-type entries (each with at least 10 cells). Highly variable genes selected using scanpy (14) with flavor="seurat" (15,16) and n_top_genes=2,000.</w:t>
      </w:r>
    </w:p>
    <w:p>
      <w:pPr>
        <w:spacing w:line="276" w:lineRule="auto" w:after="80"/>
        <w:ind w:firstLine="0"/>
      </w:pPr>
      <w:r>
        <w:rPr>
          <w:rFonts w:ascii="Arial" w:hAnsi="Arial"/>
          <w:b w:val="0"/>
          <w:i w:val="0"/>
          <w:color w:val="000000"/>
          <w:sz w:val="22"/>
        </w:rPr>
        <w:t>Tabula Sapiens v1.0 (8): accessed via CZ CELLxGENE Discover. Post-QC: 108,136 cells (6 h5ad files total), 51,852 genes, 102 cell-type entries across 6 organs. HK genes: HRT Atlas v1.0 reference (1,130 genes; human column).</w:t>
      </w:r>
    </w:p>
    <w:p>
      <w:pPr>
        <w:spacing w:line="276" w:lineRule="auto" w:after="80"/>
        <w:ind w:firstLine="0"/>
      </w:pPr>
      <w:r>
        <w:rPr>
          <w:rFonts w:ascii="Arial" w:hAnsi="Arial"/>
          <w:b w:val="0"/>
          <w:i w:val="0"/>
          <w:color w:val="000000"/>
          <w:sz w:val="22"/>
        </w:rPr>
        <w:t>TCGA bulk RNA-seq (17): five cancer types from NCI Genomic Data Commons, accessed via TCGAbiolinks (18) and cBioPortal (19) APIs. LUAD: 495 tumor + 76 normal; LUSC: 567 tumor + 58 normal; LIHC: 365 tumor + 57 normal; KIRC: 755 tumor + 82 normal; BRCA: 1032 tumor + 109 normal. TPM values from UCSC Xena, log2(TPM + 1) transformed. PAM50 classification (20,21): nearest centroid (Pearson correlation), 44 of 47 PAM50 genes matched. LIHC Edmondson grade (22):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(11):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(10,932), fibroblasts (10,156), ependymal cells (7,882), choroid plexus (9,689),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loaded from the HRT Atlas v1.0 reference (1,115 genes matched to the Siletti gene annotation). Top-200 identity genes were selected per comparison, excluding HK genes.</w:t>
      </w:r>
    </w:p>
    <w:p>
      <w:pPr>
        <w:pStyle w:val="Heading2"/>
        <w:spacing w:before="420" w:after="160"/>
      </w:pPr>
      <w:r>
        <w:rPr>
          <w:rFonts w:ascii="Arial" w:hAnsi="Arial"/>
          <w:color w:val="000000"/>
          <w:sz w:val="28"/>
          <w:b/>
        </w:rPr>
        <w:t>Method comparison</w:t>
      </w:r>
    </w:p>
    <w:p>
      <w:pPr>
        <w:spacing w:line="276" w:lineRule="auto" w:after="8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420" w:after="160"/>
      </w:pPr>
      <w:r>
        <w:rPr>
          <w:rFonts w:ascii="Arial" w:hAnsi="Arial"/>
          <w:color w:val="000000"/>
          <w:sz w:val="28"/>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To provide empirical null calibration, we implemented a permutation-based null distribution: cell type labels were shuffled within each region pair (B = 10,000 permutations), and per-signal empirical P-values were computed as P = (count(null_residual ≤ observed) + 1)/(B + 1). Given the large number of tests (m = 31,764) and the finite permutation resolution (B = 10,000), 36.3% of signals (11,541/31,764) reached the empirical P-value floor (P = 9.99 × 10⁻⁵), precluding meaningful Benjamini-Hochberg FDR correction. We therefore report unadjusted permutation P-values and interpret significance descriptively: signals reaching the P-value floor (no null permutation exceeded the observed residual in 10,000 shuffles) are considered strong evidence of deviation from the multiplicative null model, while signals with P ≥ 0.50 show little to no evidence of departure. Per-signal tests are not independent (the same cell type or region pair appears in multiple comparisons); we restrict biological interpretation to the 30 predefined Strong candidates rather than the full 31,764 search space, and treat the permutation results as descriptive validation rather than formal FDR-controlled inference.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420" w:after="160"/>
      </w:pPr>
      <w:r>
        <w:rPr>
          <w:rFonts w:ascii="Arial" w:hAnsi="Arial"/>
          <w:color w:val="000000"/>
          <w:sz w:val="28"/>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(20,21); 44 of 47 PAM50 genes matched to TCGA gene symbols. LIHC Edmondson histological grades (22)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are reported as descriptive statistics (medians and IQRs) without formal P-values, as the paired design (tumor and matched adjacent normal from the same patient) does not meet the independence assumption of standard between-group tests.</w:t>
      </w:r>
    </w:p>
    <w:p>
      <w:pPr>
        <w:pStyle w:val="Heading2"/>
        <w:spacing w:before="420" w:after="160"/>
      </w:pPr>
      <w:r>
        <w:rPr>
          <w:rFonts w:ascii="Arial" w:hAnsi="Arial"/>
          <w:color w:val="000000"/>
          <w:sz w:val="28"/>
          <w:b/>
        </w:rPr>
        <w:t>Computational environment</w:t>
      </w:r>
    </w:p>
    <w:p>
      <w:pPr>
        <w:spacing w:line="276" w:lineRule="auto" w:after="80"/>
        <w:ind w:firstLine="0"/>
      </w:pPr>
      <w:r>
        <w:rPr>
          <w:rFonts w:ascii="Arial" w:hAnsi="Arial"/>
          <w:b w:val="0"/>
          <w:i w:val="0"/>
          <w:color w:val="000000"/>
          <w:sz w:val="22"/>
        </w:rPr>
        <w:t>All analyses were performed in Python 3.13.12 with scanpy &gt;= 1.9.0 (14), scipy &gt;= 1.10.0, numpy &gt;= 1.23.0, pandas &gt;= 1.5.0, matplotlib &gt;= 3.6.0, seaborn &gt;= 0.12.0, and scikit-learn &gt;= 1.2.0. All random seeds were fixed at 42.</w:t>
      </w:r>
    </w:p>
    <w:p>
      <w:pPr>
        <w:pStyle w:val="Heading2"/>
        <w:spacing w:before="420" w:after="160"/>
      </w:pPr>
      <w:r>
        <w:rPr>
          <w:rFonts w:ascii="Arial" w:hAnsi="Arial"/>
          <w:color w:val="000000"/>
          <w:sz w:val="28"/>
          <w:b/>
        </w:rPr>
        <w:t>Statistical reporting</w:t>
      </w:r>
    </w:p>
    <w:p>
      <w:pPr>
        <w:spacing w:line="276" w:lineRule="auto" w:after="80"/>
        <w:ind w:firstLine="0"/>
      </w:pPr>
      <w:r>
        <w:rPr>
          <w:rFonts w:ascii="Arial" w:hAnsi="Arial"/>
          <w:b w:val="0"/>
          <w:i w:val="0"/>
          <w:color w:val="000000"/>
          <w:sz w:val="22"/>
        </w:rPr>
        <w:t>We report summary statistics as mean ± s.d. (range) or median [IQR] as noted. Box plots display median, IQR, and 1.5× IQR whiskers. Bootstrap permutation testing was performed for all four datasets with B = 1,000: mouse pilot (15 cell-type pairs, 6 calibration controls), human Tabula Sapiens, TCGA, and brain atlas. Empirical P-values are computed as one-sided permutation tests: P = (count(ω_null ≥ ω_obs) + 1)/(B + 1), where the null distribution is built from B = 1,000 random permutations of cell labels. In each iteration, cell labels are randomly reassigned to pooled single-cell expression vectors, pseudobulks are recomputed from the permuted groups, and ω is recalculated under the same gene selection procedure. This tests whether the observed ω is larger than expected under random group assignment. Benjamini-Hochberg FDR correction is applied within each dataset to control the false discovery rate (23). The number of tests is determined by the number of cell types (10 for brain, 17 for human per-cell-type, 15 for mouse), not the number of region pairs. With B = 1,000, the minimum resolvable P-value is 9.99 × 10⁻⁴, which is well below the Benjamini-Hochberg threshold for the most significant test in each dataset (brain: 5.0 × 10⁻³; human: 2.9 × 10⁻³; mouse: 3.3 × 10⁻³), confirming that B = 1,000 provides sufficient resolution for all tests.</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These intervals quantify the precision of the ω point estimate under resampling rather than providing a classical confidence interval for a fixed population parameter. The ω distribution was characterized using skewness, excess kurtosis, and normality tests (Shapiro-Wilk for n ≤ 5,000; D’Agostino-Pearson for n &gt; 5,000). All ω distributions were right-skewed (brain: skewness = 2.22; mouse: 0.98; human: 0.73) and significantly non-normal (all P &lt; 10⁻¹⁵). Effect sizes are reported as standardized effect size (SES = (ω_obs − μ_null) / σ_null), computed from the bootstrap permutation null distribution as a descriptive measure of separation; given the non-normal ω distribution, SES should be interpreted as a standardized mean difference rather than a parametric test statistic. The calibration experiment using split-half equivalent populations (n = 6 random splits of the same tissue) yielded a mean ω = 6.67, reflecting systematic inflation of k_f relative to k_n from HVG gene selection. This empirical baseline does not represent a shift in the null hypothesis for the permutation test, but indicates that ω = 1 is a theoretical ideal (k_f = k_n) that is never reached in practice due to the way functional genes are identified. The permutation test accounts for this by comparing observed ω against a null distribution constructed from the same gene selection procedure applied to randomly permuted groups. The +1 pseudocount ensures that P &gt; 0 even when no null permutation exceeds the observed deviation. For the larger-scale analyses (human, TCGA, brain), non-parametric statistical tests (Spearman correlation, Mann-Whitney U, Kruskal-Wallis, Jonckheere-Terpstra) and descriptive statistics (median, IQR, effect sizes) are also reported. Correlation coefficients (Spearman ρ) are reported with associated P-values. Omnibus tests (Kruskal-Wallis, Jonckheere-Terpstra) use P &lt; 0.05 without additional correction.</w:t>
      </w:r>
    </w:p>
    <w:p>
      <w:pPr>
        <w:pStyle w:val="Heading1"/>
        <w:spacing w:before="420" w:after="160"/>
      </w:pPr>
      <w:r>
        <w:rPr>
          <w:rFonts w:ascii="Arial" w:hAnsi="Arial"/>
          <w:color w:val="000000"/>
          <w:sz w:val="32"/>
          <w:b/>
        </w:rPr>
        <w:t>Results</w:t>
      </w:r>
    </w:p>
    <w:p>
      <w:pPr>
        <w:pStyle w:val="Heading2"/>
        <w:spacing w:before="420" w:after="160"/>
      </w:pPr>
      <w:r>
        <w:rPr>
          <w:rFonts w:ascii="Arial" w:hAnsi="Arial"/>
          <w:color w:val="000000"/>
          <w:sz w:val="28"/>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(13), k_n captures baseline noise: technical variation, stochastic transcriptional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(used for the Tabula Muris full pairwise matrix, Fig. 2), identity genes are the top-2,000 highly variable genes (HVGs; Seurat flavor), excluding HK genes to maintain k_n/k_f independence. For the mouse pilot calibration and all cross-species analyses (human, TCGA, brain), we used a hybrid scheme: k_n is computed globally with a shared HK gene set, while k_f uses the top-200 differentially expressed genes (ranked by absolute mean difference) for each specific pair, with HK genes excluded. k_f is the JS divergence between these two identity gene probability distributions.</w:t>
      </w:r>
    </w:p>
    <w:p>
      <w:pPr>
        <w:spacing w:line="276" w:lineRule="auto" w:after="80"/>
        <w:ind w:firstLine="0"/>
      </w:pPr>
      <w:r>
        <w:rPr>
          <w:rFonts w:ascii="Arial" w:hAnsi="Arial"/>
          <w:b w:val="0"/>
          <w:i w:val="0"/>
          <w:color w:val="000000"/>
          <w:sz w:val="22"/>
        </w:rPr>
        <w:t>Step 3: ω = k_f/k_n. For statistical inference, we perform bootstrap permutation testing (B = 1,000 for all datasets: mouse, human, TCGA, and brain). Cell labels are randomly shuffled and ω recalculated to generate a null distribution. The empirical P-value is P = (count(ω_null ≥ ω_obs) + 1)/(B + 1), and effect size is reported as standardized effect size (SES = (ω_obs − μ_null) / σ_null). Benjamini-Hochberg FDR correction is applied within each dataset. For the larger-scale analyses (Tabula Sapiens, TCGA, brain atlas), non-parametric statistical tests and descriptive statistics (median, IQR, effect sizes) are also reported.</w:t>
      </w:r>
    </w:p>
    <w:p>
      <w:pPr>
        <w:spacing w:line="276" w:lineRule="auto" w:after="8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constrained baseline and identity gene sets is sufficient.</w:t>
      </w:r>
    </w:p>
    <w:p>
      <w:pPr>
        <w:pStyle w:val="Heading2"/>
        <w:spacing w:before="420" w:after="160"/>
      </w:pPr>
      <w:r>
        <w:rPr>
          <w:rFonts w:ascii="Arial" w:hAnsi="Arial"/>
          <w:color w:val="000000"/>
          <w:sz w:val="28"/>
          <w:b/>
        </w:rPr>
        <w:t>Calibration confirms baseline behavior at baseline</w:t>
      </w:r>
    </w:p>
    <w:p>
      <w:pPr>
        <w:spacing w:line="276" w:lineRule="auto" w:after="80"/>
        <w:ind w:firstLine="0"/>
      </w:pPr>
      <w:r>
        <w:rPr>
          <w:rFonts w:ascii="Arial" w:hAnsi="Arial"/>
          <w:b w:val="0"/>
          <w:i w:val="0"/>
          <w:color w:val="000000"/>
          <w:sz w:val="22"/>
        </w:rPr>
        <w:t>We calibrated CKI on the Tabula Muris FACS dataset (7) (SmartSeq2, 15,057 cells, 22,308 genes, 6 organs). Housekeeping genes were loaded from the HRT Atlas v1.0 reference (13) (mouse ortholog column). For the full pairwise matrix (703 pairs, Fig. 2), identity genes were the top-2,000 highly variable genes (HVGs; Seurat), excluding HK genes. For the pilot calibration (controls, S/D/X categories), we used a hybrid scheme: global k_n (shared HK gene set) with per-pair k_f (top-200 differentially expressed genes, ranked by absolute mean difference, HK excluded).</w:t>
      </w:r>
    </w:p>
    <w:p>
      <w:pPr>
        <w:spacing w:line="276" w:lineRule="auto" w:after="8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6.67 (median 6.46, range 1.59–12.16, CV ≈ 60%), indicating substantial variability in the empirical baseline estimate. None of the six comparisons reached statistical significance (all P &gt; 0.05, one-sided bootstrap test). This confirms that CKI recognizes biologically equivalent cell populations as having no significant functional divergence. We note that while these results are consistent with baseline behavior, formal equivalence testing (e.g., two one-sided tests, TOST) with a larger calibration sample would provide stronger statistical evidence for equivalence; the current sample size (n = 6) with a coefficient of variation of ~60% limits the power of such tests and the precision of the calibration factor (ω_cal = ω / 6.67).</w:t>
      </w:r>
    </w:p>
    <w:p>
      <w:pPr>
        <w:spacing w:line="276" w:lineRule="auto" w:after="80"/>
        <w:ind w:firstLine="0"/>
      </w:pPr>
      <w:r>
        <w:rPr>
          <w:rFonts w:ascii="Arial" w:hAnsi="Arial"/>
          <w:b w:val="0"/>
          <w:i w:val="0"/>
          <w:color w:val="000000"/>
          <w:sz w:val="22"/>
        </w:rPr>
        <w:t>Beyond controls, ω values increased monotonically with biological distance. Same cell type across different organs (S category: mean ω = 21.31, n = 4 pairs) had lower ω than different cell types within the same organ (D category: mean ω = 43.19,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spacing w:line="276" w:lineRule="auto" w:after="80"/>
        <w:ind w:firstLine="0"/>
      </w:pPr>
      <w:r>
        <w:rPr>
          <w:rFonts w:ascii="Arial" w:hAnsi="Arial"/>
          <w:b w:val="0"/>
          <w:i w:val="0"/>
          <w:color w:val="000000"/>
          <w:sz w:val="22"/>
        </w:rPr>
        <w:t>Because the empirical baseline (ω = 6.67) deviates substantially from the theoretical ideal (ω = 1), we introduce a calibrated omega: ω_cal = ω_obs / 6.67. This rescales all values so that equivalent populations yield ω_cal ≈ 1.0, restoring the interpretability of the ratio framework. Under this calibration, mouse controls yield ω_cal = 1.00, brain global mean becomes ω_cal = 1.20 (raw 8.01), and astrocytes—the most regionally divergent brain cell type—yield ω_cal = 2.15 (raw 14.36). Cell types with ω_cal &lt; 1, such as Bergmann glia (ω_cal = 0.36), are more transcriptionally constrained between brain regions than the empirical baseline. The calibrated values are reported alongside raw ω in all key results and Supplementary Figures 10–12. The calibrate_omega() function is available in the CKI package.</w:t>
      </w:r>
    </w:p>
    <w:p>
      <w:pPr>
        <w:pStyle w:val="Heading2"/>
        <w:spacing w:before="420" w:after="160"/>
      </w:pPr>
      <w:r>
        <w:rPr>
          <w:rFonts w:ascii="Arial" w:hAnsi="Arial"/>
          <w:color w:val="000000"/>
          <w:sz w:val="28"/>
          <w:b/>
        </w:rPr>
        <w:t>CKI captures information that standard metrics miss</w:t>
      </w:r>
    </w:p>
    <w:p>
      <w:pPr>
        <w:spacing w:line="276" w:lineRule="auto" w:after="80"/>
        <w:ind w:firstLine="0"/>
      </w:pPr>
      <w:r>
        <w:rPr>
          <w:rFonts w:ascii="Arial" w:hAnsi="Arial"/>
          <w:b w:val="0"/>
          <w:i w:val="0"/>
          <w:color w:val="000000"/>
          <w:sz w:val="22"/>
        </w:rPr>
        <w:t>We extended CKI to the Tabula Sapiens human atlas (8)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For the brain analysis, k_n was computed per-pair (not globally), because regional comparisons within the same cell type demand pair-specific baselines. Analysis of per-pair k_n across 31,764 brain comparisons revealed substantial cross-pair variability (CV = 97.35%), and the Spearman correlation between per-pair ω and global-k_n ω was only -0.027 (P = 9.96e-07), confirming that pair-specific k_n is essential for accurate ω ranking (Supplementary Fig. S11). HK genes were loaded from the HRT Atlas v1.0 reference (13) (human column) (Fig. 3).</w:t>
      </w:r>
    </w:p>
    <w:p>
      <w:pPr>
        <w:spacing w:line="276" w:lineRule="auto" w:after="80"/>
        <w:ind w:firstLine="0"/>
      </w:pPr>
      <w:r>
        <w:rPr>
          <w:rFonts w:ascii="Arial" w:hAnsi="Arial"/>
          <w:b w:val="0"/>
          <w:i w:val="0"/>
          <w:color w:val="000000"/>
          <w:sz w:val="22"/>
        </w:rPr>
        <w:t>Human ω values ranged from 1.10 to 58.69 (mean 14.23, median 13.81, n = 5,151 pairs), substantively lower than mouse (mean 27.31). This difference likely reflects fundamentally different data structures: mouse pilot data (calibration and validation) uses the same hybrid scheme as human (global k_n from shared HK genes, per-pair k_f from top-200 DE genes), while the mouse full pairwise matrix (703 pairs, Fig. 2 heatmap) uses a global HVG 2,000 set for k_f. The human hybrid scheme similarly uses global k_n with per-pair k_f. The different k_f gene selection strategies (per-pair DE vs. global HVG) alter the effective ω scale between analyses. Despite this,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420" w:after="160"/>
      </w:pPr>
      <w:r>
        <w:rPr>
          <w:rFonts w:ascii="Arial" w:hAnsi="Arial"/>
          <w:b/>
          <w:sz w:val="22"/>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0.716, above Spearman distance at AUC = 0.690 but below cosine distance at AUC = 0.887; Table 1).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24.87 vs. 20.80,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420" w:after="160"/>
      </w:pPr>
      <w:r>
        <w:rPr>
          <w:rFonts w:ascii="Arial" w:hAnsi="Arial"/>
          <w:color w:val="000000"/>
          <w:sz w:val="28"/>
          <w:b/>
        </w:rPr>
        <w:t>Cancer analysis reveals unexpected transcriptional convergence</w:t>
      </w:r>
    </w:p>
    <w:p>
      <w:pPr>
        <w:spacing w:line="276" w:lineRule="auto" w:after="80"/>
        <w:ind w:firstLine="0"/>
      </w:pPr>
      <w:r>
        <w:rPr>
          <w:rFonts w:ascii="Arial" w:hAnsi="Arial"/>
          <w:b w:val="0"/>
          <w:i w:val="0"/>
          <w:color w:val="000000"/>
          <w:sz w:val="22"/>
        </w:rPr>
        <w:t>We applied CKI to TCGA bulk RNA-seq data across five cancer types (LUAD, LUSC, LIHC, KIRC, BRCA) (9,10),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80"/>
        <w:ind w:firstLine="0"/>
      </w:pPr>
      <w:r>
        <w:rPr>
          <w:rFonts w:ascii="Arial" w:hAnsi="Arial"/>
          <w:b w:val="0"/>
          <w:i w:val="0"/>
          <w:color w:val="000000"/>
          <w:sz w:val="22"/>
        </w:rPr>
        <w:t>A notable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However, because TCGA data are bulk RNA-seq, this apparent convergence has multiple non-exclusive explanations beyond true transcriptional convergence: (i) shifts in tumor cell composition relative to normal tissue (tumor purity, stromal infiltration, immune cell infiltration); (ii) peritumoral inflammation and desmoplastic reactions that are shared across tumors; (iii) systematic RNA quality differences between tumor and normal specimens. We therefore interpret these results as exploratory observations at bulk resolution, and note that single-cell or deconvolution-based analyses would be needed to disentangle genuine transcriptional convergence from cell-composition artifacts.</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0.99–3.25).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We then asked whether ω tracks with clinical severity within cancer types. In liver cancer, ω decreased with increasing Edmondson grade (22): G1 (101.8 ± 46.8, n = 39) &gt; G2 (100.2 ± 63.9, n = 133) &gt; G3 (96.8 ± 58.2, n = 105) &gt; G4 (90.0 ± 57.8, n = 11; Jonckheere-Terpstra trend test, P &lt; 0.001). In breast cancer, PAM50 subtype analysis (20,21)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 We note that the smallest subgroups (Normal-like n = 7; Edmondson G4 n = 11) have limited statistical power, and their rankings should be interpreted cautiously. Furthermore, the PAM50 gradient may partly reflect proliferative fraction differences across subtypes (Basal-like tumors have the highest proliferation rates and the lowest ω), meaning that the observed convergence could be driven by proliferation programs overriding tissue-specific expression rather than by a shared transcriptional attractor per se. The TCGA analysis is therefore exploratory in nature: bulk RNA-seq confounds cell-composition shifts, peritumoral inflammation, and RNA quality differences with genuine transcriptional divergence, and these alternative explanations cannot be ruled out at bulk resolution.</w:t>
      </w:r>
    </w:p>
    <w:p>
      <w:pPr>
        <w:pStyle w:val="Heading2"/>
        <w:spacing w:before="420" w:after="160"/>
      </w:pPr>
      <w:r>
        <w:rPr>
          <w:rFonts w:ascii="Arial" w:hAnsi="Arial"/>
          <w:color w:val="000000"/>
          <w:sz w:val="28"/>
          <w:b/>
        </w:rPr>
        <w:t>CKI ranks cell types by cross-organ conservation</w:t>
      </w:r>
    </w:p>
    <w:p>
      <w:pPr>
        <w:spacing w:before="420" w:after="160"/>
      </w:pPr>
      <w:r>
        <w:rPr>
          <w:rFonts w:ascii="Arial" w:hAnsi="Arial"/>
          <w:b/>
          <w:sz w:val="22"/>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60"/>
      </w:pPr>
    </w:p>
    <w:p>
      <w:pPr>
        <w:spacing w:line="276" w:lineRule="auto" w:after="8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8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(24). We note that several cell types in this ranking have very few cross-organ pairs (n = 1–3; e.g., Memory B cells n = 1, Smooth muscle n = 1), and their mean ω estimates are correspondingly unreliable. We recommend interpreting the ranking of cell types with n &lt; 5 as suggestive only, and prioritizing the relative ordering of well-sampled cell types (n ≥ 5) for biological conclusions.</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S2). This is because CKI explicitly normalizes: two cell populations might share similar highly expressed genes (yielding high Jaccard similarity), but if their constrained baseline k_n is low, even modest functional differences can produce a high ω. This normalization reveals patterns that raw expression similarity misses.</w:t>
      </w:r>
    </w:p>
    <w:p>
      <w:pPr>
        <w:pStyle w:val="Heading2"/>
        <w:spacing w:before="420" w:after="160"/>
      </w:pPr>
      <w:r>
        <w:rPr>
          <w:rFonts w:ascii="Arial" w:hAnsi="Arial"/>
          <w:color w:val="000000"/>
          <w:sz w:val="28"/>
          <w:b/>
        </w:rPr>
        <w:t>Brain regional analysis reveals cell-type differentiation gradients</w:t>
      </w:r>
    </w:p>
    <w:p>
      <w:pPr>
        <w:spacing w:line="276" w:lineRule="auto" w:after="80"/>
        <w:ind w:firstLine="0"/>
      </w:pPr>
      <w:r>
        <w:rPr>
          <w:rFonts w:ascii="Arial" w:hAnsi="Arial"/>
          <w:b w:val="0"/>
          <w:i w:val="0"/>
          <w:color w:val="000000"/>
          <w:sz w:val="22"/>
        </w:rPr>
        <w:t>We applied CKI to the Siletti et al. human brain single-nucleus RNA-seq atlas (11),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w:t>
      </w:r>
    </w:p>
    <w:p>
      <w:pPr>
        <w:spacing w:line="276" w:lineRule="auto" w:after="80"/>
        <w:ind w:firstLine="0"/>
      </w:pPr>
      <w:r>
        <w:rPr>
          <w:rFonts w:ascii="Arial" w:hAnsi="Arial"/>
          <w:b w:val="0"/>
          <w:i w:val="0"/>
          <w:color w:val="000000"/>
          <w:sz w:val="22"/>
        </w:rPr>
        <w:t>The analysis revealed a pronounced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8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The grand mean ω across all 31,764 pairs (8.01) is lower than the astrocyte mean (14.36) because it is dominated by cell types with many pairs and low ω (e.g., fibroblasts n = 3,403 at 3.99, vascular cells n = 3,321 at 3.40); it is not a contradiction but a consequence of the skewed distribution of pair counts across cell types.</w:t>
      </w:r>
    </w:p>
    <w:p>
      <w:pPr>
        <w:spacing w:line="276" w:lineRule="auto" w:after="8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420" w:after="160"/>
      </w:pPr>
      <w:r>
        <w:rPr>
          <w:rFonts w:ascii="Arial" w:hAnsi="Arial"/>
          <w:color w:val="000000"/>
          <w:sz w:val="28"/>
          <w:b/>
        </w:rPr>
        <w:t>CKI correlates with developmental origin signatures across brain regions</w:t>
      </w:r>
    </w:p>
    <w:p>
      <w:pPr>
        <w:spacing w:line="276" w:lineRule="auto" w:after="8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pPr>
        <w:spacing w:line="276" w:lineRule="auto" w:after="8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w:t>
      </w:r>
    </w:p>
    <w:p>
      <w:pPr>
        <w:spacing w:line="276" w:lineRule="auto" w:after="80"/>
        <w:ind w:firstLine="0"/>
      </w:pPr>
      <w:r>
        <w:rPr>
          <w:rFonts w:ascii="Arial" w:hAnsi="Arial"/>
          <w:b w:val="0"/>
          <w:i w:val="0"/>
          <w:color w:val="000000"/>
          <w:sz w:val="22"/>
        </w:rPr>
        <w:t>Among 31,764 cross-region comparisons, 30 (0.09%) were classified as Strong migration candidates: Astrocyte (8), fibroblast (2), microglia (22), oligodendrocyte (22), and vascular cells (4). Another 1,247 pairs (3.93%) were Moderate candidates, and 6,567 (20.67%) were Weak candidates. Permutation testing (B = 10,000) revealed that 16 of 30 Strong signals reached the permutation P-value floor (P = 9.99 × 10⁻⁵, i.e., no permutation out of 10,000 produced a residual as extreme as observed): all 6 astrocyte and all 10 oligodendrocyte signals. The remaining 14 signals (10 microglia, 1 fibroblast, 3 vascular) showed no evidence of deviation from the multiplicative null model (all P ≥ 0.76). Given the large number of tests (m = 31,764) and P-value floor saturation (36.3% of signals at P = 9.99 × 10⁻⁵), formal FDR correction is not applicable; the 16 floor-reaching signals are interpreted as descriptive evidence of residual deviation from the multiplicative null, not as FDR-controlled discoveries. This indicates that the astrocyte and oligodendrocyte signals reflect robust biological patterns, whereas the microglia, fibroblast, and vascular signals may represent stochastic variation within the threshold criteria.</w:t>
      </w:r>
    </w:p>
    <w:p>
      <w:pPr>
        <w:pStyle w:val="Heading3"/>
        <w:spacing w:before="420" w:after="160"/>
      </w:pPr>
      <w:r>
        <w:rPr>
          <w:rFonts w:ascii="Arial" w:hAnsi="Arial"/>
          <w:color w:val="000000"/>
          <w:sz w:val="24"/>
          <w:b/>
        </w:rPr>
        <w:t>OPCs: internal consistency check</w:t>
      </w:r>
    </w:p>
    <w:p>
      <w:pPr>
        <w:spacing w:line="276" w:lineRule="auto" w:after="80"/>
        <w:ind w:firstLine="0"/>
      </w:pPr>
      <w:r>
        <w:rPr>
          <w:rFonts w:ascii="Arial" w:hAnsi="Arial"/>
          <w:b w:val="0"/>
          <w:i w:val="0"/>
          <w:color w:val="000000"/>
          <w:sz w:val="22"/>
        </w:rPr>
        <w:t>Oligodendrocyte precursor cells (OPCs) are the most actively migrating cells in the adult CNS, continuously surveilling their environment along vascular scaffolds (25,26). Yet CKI detected 0 Strong signals among 5,671 OPC cross-region comparisons—a finding that provides a useful internal consistency check of the multiplicative residual model. The model is not simply detecting high ω values or absolute transcriptional differences; it identifies cell-type/region-pair combinations where the observed functional divergence is substantially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(27).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420" w:after="160"/>
      </w:pPr>
      <w:r>
        <w:rPr>
          <w:rFonts w:ascii="Arial" w:hAnsi="Arial"/>
          <w:color w:val="000000"/>
          <w:sz w:val="24"/>
          <w:b/>
        </w:rPr>
        <w:t>Oligodendrocytes: developmental origin rather than migration</w:t>
      </w:r>
    </w:p>
    <w:p>
      <w:pPr>
        <w:spacing w:line="276" w:lineRule="auto" w:after="80"/>
        <w:ind w:firstLine="0"/>
      </w:pPr>
      <w:r>
        <w:rPr>
          <w:rFonts w:ascii="Arial" w:hAnsi="Arial"/>
          <w:b w:val="0"/>
          <w:i w:val="0"/>
          <w:color w:val="000000"/>
          <w:sz w:val="22"/>
        </w:rPr>
        <w:t>Mature oligodendrocytes contributed 10 Strong signals (residual 0.237–0.292), all of which reached the permutation P-value floor (P = 9.99 × 10⁻⁵, B = 10,000). The prevailing view is that adult oligodendrocytes do not migrate between brain regions. We systematically cross-validated all 10 Strong pairs against the developmental neurobiology literature. Notably, all 10 signals involved cortex/thalamus (A13/A14/A19/A32/A40/Idg vs. Pul/LP) or brainstem-internal (MoRF-MoEN vs. PnRF) pairings—precisely the anatomical boundaries between dorsal- and ventral-derived oligodendrocyte populations. Foerster et al. (27)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detect the transcriptional boundary between dorsal and ventral oligodendrocyte populations without requiring lineage tracing.</w:t>
      </w:r>
    </w:p>
    <w:p>
      <w:pPr>
        <w:pStyle w:val="Heading3"/>
        <w:spacing w:before="420" w:after="160"/>
      </w:pPr>
      <w:r>
        <w:rPr>
          <w:rFonts w:ascii="Arial" w:hAnsi="Arial"/>
          <w:color w:val="000000"/>
          <w:sz w:val="24"/>
          <w:b/>
        </w:rPr>
        <w:t>Astrocytes: regional specialization with developmental origins</w:t>
      </w:r>
    </w:p>
    <w:p>
      <w:pPr>
        <w:spacing w:line="276" w:lineRule="auto" w:after="80"/>
        <w:ind w:firstLine="0"/>
      </w:pPr>
      <w:r>
        <w:rPr>
          <w:rFonts w:ascii="Arial" w:hAnsi="Arial"/>
          <w:b w:val="0"/>
          <w:i w:val="0"/>
          <w:color w:val="000000"/>
          <w:sz w:val="22"/>
        </w:rPr>
        <w:t>Astrocytes showed the highest global ω (14.36, 95% CI [14.14, 14.58]) yet contributed 6 Strong signals, all of which reached the permutation P-value floor (P = 9.99 × 10⁻⁵, B = 10,000). These signals were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(28). Endo et al. (29)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420" w:after="160"/>
      </w:pPr>
      <w:r>
        <w:rPr>
          <w:rFonts w:ascii="Arial" w:hAnsi="Arial"/>
          <w:color w:val="000000"/>
          <w:sz w:val="24"/>
          <w:b/>
        </w:rPr>
        <w:t>Bergmann glia: cerebellar molecular topography</w:t>
      </w:r>
    </w:p>
    <w:p>
      <w:pPr>
        <w:spacing w:line="276" w:lineRule="auto" w:after="80"/>
        <w:ind w:firstLine="0"/>
      </w:pPr>
      <w:r>
        <w:rPr>
          <w:rFonts w:ascii="Arial" w:hAnsi="Arial"/>
          <w:b w:val="0"/>
          <w:i w:val="0"/>
          <w:color w:val="000000"/>
          <w:sz w:val="22"/>
        </w:rPr>
        <w:t>Bergmann glia had the lowest global ω (2.37) and only one Strong signal (CBL vs. CBV, residual = 0.274), consistent with their developmentally fixed, transcriptionally constrained state in the adult cerebellum (30). Bergmann glia are patterned into topographic molecular zones that align with cerebellar functional compartments (28),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pPr>
        <w:pStyle w:val="Heading3"/>
        <w:spacing w:before="420" w:after="160"/>
      </w:pPr>
      <w:r>
        <w:rPr>
          <w:rFonts w:ascii="Arial" w:hAnsi="Arial"/>
          <w:color w:val="000000"/>
          <w:sz w:val="24"/>
          <w:b/>
        </w:rPr>
        <w:t>Microglia: exploratory colonization wave hypotheses (not statistically significant)</w:t>
      </w:r>
    </w:p>
    <w:p>
      <w:pPr>
        <w:spacing w:line="276" w:lineRule="auto" w:after="80"/>
        <w:ind w:firstLine="0"/>
      </w:pPr>
      <w:r>
        <w:rPr>
          <w:rFonts w:ascii="Arial" w:hAnsi="Arial"/>
          <w:b w:val="0"/>
          <w:i w:val="0"/>
          <w:color w:val="000000"/>
          <w:sz w:val="22"/>
        </w:rPr>
        <w:t>Microglia contributed 10 Strong signals by the threshold criteria; however, permutation testing revealed that none reached statistical significance (all P ≥ 0.76). This indicates that microglial regional ω values, while occasionally falling below the multiplicative model's expectation, do not depart from expectation more than would be expected from random label assignment. We therefore present the following biological interpretation as an exploratory hypothesis rather than a statistically supported finding. Shemer and Jung (31) comprehensively reviewed the molecular determinants of microglial developmental colonization, identifying three major invasion routes: the pial surface, the ventricular zone, and the vasculature. Colonization proceeds in a rostral-to-caudal wave, with forebrain regions colonized earlier than midbrain and hindbrain structures (32). Barry-Carroll et al. (33) demonstrated that microglial colonization occurs through clonal expansion of highly proliferative precursors, with spatial constraints limiting clone mixing between regions. If the observed microglia Strong signals reflect genuine biological structure, they would systematically trace this rostral-to-caudal colonization gradient: 7 of 10 signals involve cortex (A5-A7, A14, A23, A29-A30) paired with midbrain/pontine structures (IC, DTg, PnAN, PnEN, MoRF-MoEN). The inferior colliculus (IC) appears in 4 of 10 pairs and could represent a contact zone where forebrain-derived and hindbrain-derived colonization waves meet. However, given the lack of statistical significance, these patterns may reflect stochastic variation in the high-dimensional ω landscape rather than reproducible biological signals. Validation through independent datasets or lineage tracing experiments would be required to confirm these colonization boundary hypotheses.</w:t>
      </w:r>
    </w:p>
    <w:p>
      <w:pPr>
        <w:pStyle w:val="Heading3"/>
        <w:spacing w:before="420" w:after="160"/>
      </w:pPr>
      <w:r>
        <w:rPr>
          <w:rFonts w:ascii="Arial" w:hAnsi="Arial"/>
          <w:color w:val="000000"/>
          <w:sz w:val="24"/>
          <w:b/>
        </w:rPr>
        <w:t>Vascular cells: blood-brain barrier regional identity</w:t>
      </w:r>
    </w:p>
    <w:p>
      <w:pPr>
        <w:spacing w:line="276" w:lineRule="auto" w:after="80"/>
        <w:ind w:firstLine="0"/>
      </w:pPr>
      <w:r>
        <w:rPr>
          <w:rFonts w:ascii="Arial" w:hAnsi="Arial"/>
          <w:b w:val="0"/>
          <w:i w:val="0"/>
          <w:color w:val="000000"/>
          <w:sz w:val="22"/>
        </w:rPr>
        <w:t>Vascular cells contributed 3 Strong signals by threshold criteria, all involving ITG (inferior temporal gyrus, cortical) paired with brainstem structures (PB, PnRF, SN). However, none reached statistical significance in permutation testing (all P = 1.0). Adult brain endothelial cells have a proliferation rate of ~0.4% and form a physically continuous network, making active migration an unlikely explanation. Schaffenrath et al. (34)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The low inter-regional ω values (1.75–1.80) indicate that the core vascular transcriptional program is highly conserved, with functional divergence detectable only as modest deviations from the global vascular ω baseline. However, the lack of statistical significance suggests that these signals may reflect the inherently low variance of vascular ω rather than specific developmental boundary effects.</w:t>
      </w:r>
    </w:p>
    <w:p>
      <w:pPr>
        <w:pStyle w:val="Heading3"/>
        <w:spacing w:before="420" w:after="160"/>
      </w:pPr>
      <w:r>
        <w:rPr>
          <w:rFonts w:ascii="Arial" w:hAnsi="Arial"/>
          <w:color w:val="000000"/>
          <w:sz w:val="24"/>
          <w:b/>
        </w:rPr>
        <w:t>Fibroblast: exploratory postnatal migration signal</w:t>
      </w:r>
    </w:p>
    <w:p>
      <w:pPr>
        <w:spacing w:line="276" w:lineRule="auto" w:after="80"/>
        <w:ind w:firstLine="0"/>
      </w:pPr>
      <w:r>
        <w:rPr>
          <w:rFonts w:ascii="Arial" w:hAnsi="Arial"/>
          <w:b w:val="0"/>
          <w:i w:val="0"/>
          <w:color w:val="000000"/>
          <w:sz w:val="22"/>
        </w:rPr>
        <w:t>Perivascular fibroblasts contributed 1 Strong signal by threshold criteria (A40 vs. SN, residual = 0.299), but this signal did not reach statistical significance (P = 1.0). Jones et al. (35) demonstrated that brain perivascular fibroblasts originate from the meninges and migrate along penetrating vessels into the brain parenchyma during postnatal development. This migration is active, coordinated with perivascular macrophage colonization, and establishes a population of fibroblasts in the Virchow-Robin spaces that persists in adulthood. If the A40 (prefrontal cortex) vs. SN (substantia nigra) signal reflects genuine biology, it could represent fibroblasts that entered these anatomically distant regions along different branches of the cerebral vasculature from a shared meningeal origin. However, the lack of statistical significance, combined with the small fibroblast population (8,156 nuclei across 83 regions), means this signal should be considered exploratory. The detection of threshold-passing but non-significant signals from sparse populations highlights the importance of permutation-based validation for the multiplicative residual model.</w:t>
      </w:r>
    </w:p>
    <w:p>
      <w:pPr>
        <w:pStyle w:val="Heading1"/>
        <w:spacing w:before="420" w:after="160"/>
      </w:pPr>
      <w:r>
        <w:rPr>
          <w:rFonts w:ascii="Arial" w:hAnsi="Arial"/>
          <w:color w:val="000000"/>
          <w:sz w:val="32"/>
          <w:b/>
        </w:rPr>
        <w:t>Discussion</w:t>
      </w:r>
    </w:p>
    <w:p>
      <w:pPr>
        <w:spacing w:line="276" w:lineRule="auto" w:after="8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n = 6) yielded a mean ω = 6.67, demonstrating that k_f systematically exceeds k_n even for identical populations due to HVG gene selection. We therefore use ω_cal = ω / 6.67 as the operational scale, with ω_cal ≪ 1 and ω_cal ≫ 1 interpreted as functional constraint and enhanced divergence, respectively—not as claims about Darwinian selection regimes.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8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 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that requires cautious interpretation. At bulk RNA-seq resolution, the apparent convergence could be driven by shared cell-composition shifts (tumor purity, stromal and immune infiltration), peritumoral inflammation, or systematic RNA quality differences, rather than by genuine transcriptional convergence of tumor cells. If the signal is real, it may point to common vulnerabilities across genetically diverse tumors; the PAM50 gradient (aggressive subtypes show lower ω, consistent with proliferation programs overriding tissue-specific expression) is suggestive but cannot rule out the proliferation-confound explanation. Single-cell or deconvolution-based validation would be needed to disentangle these alternatives. Additionally, the substantially higher raw ω values in TCGA compared to single-cell datasets (e.g., BRCA Luminal A ω ≈ 344.5 vs. brain global ω = 8.01) likely reflect bulk RNA-seq averaging effects: pseudobulk averaging across millions of cells compresses HK gene variance (driving k_n toward its floor), while preserving tumor-specific DE gene differences (maintaining high k_f), resulting in inflated ω.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The multiplicative residual model detected 30 Strong candidate signals by threshold criteria; permutation testing (B = 10,000) confirmed that 16 of these reached the permutation P-value floor (P = 9.99 × 10⁻⁵), providing strong evidence of deviation from the multiplicative null model. The 16 significant signals were exclusively from astrocytes (6/6) and oligodendrocytes (10/10), both reflecting developmental origin signatures: oligodendrocyte dorsal/ventral origin differences (27) explain all 10 oligodendrocyte Strong signals as cortex vs. thalamus/brainstem boundaries, while compartmentalized astrogenesis (29) explains the astrocyte thalamic and cerebellar signals. In contrast, 10 microglia, 1 fibroblast, and 3 vascular threshold-passing signals did not reach statistical significance (all P ≥ 0.76), suggesting they may reflect stochastic variation rather than robust biological patterns. Importantly, OPCs—the most actively migrating cells in the adult CNS (25,26)—yielded 0 Strong signals among 5,671 comparisons, providing a notable orthogonal validation that the residual model specifically detects fixed developmental signatures rather than ongoing cell motility. These results demonstrate that CKI detects persistent transcriptional signatures of developmental history—origin and specification—embedded in adult transcriptomic data, and that permutation-based validation is essential for distinguishing robust biological signals from threshold-passing noise. Preliminary cross-species validation (Supplementary Fig. S2) showed that ω rankings are moderately conserved between mouse and human for shared cell types, though absolute ω values differ due to different computation schemes (per-pair for mouse, hybrid for human).</w:t>
      </w:r>
    </w:p>
    <w:p>
      <w:pPr>
        <w:spacing w:line="276" w:lineRule="auto" w:after="8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the HRT Atlas v1.0 reference (13) as the HK gene source for all reported analyses. The CKI package also supports data-driven auto-detection (combined detection-rate and CV filtering, use_reference = False) as the universal default, but this was not used in the reported analyses. Sensitivity analysis showed that CKI results are robust to alternative HK definitions (using the lowest 10% variable genes as a constrained set yielded ω correlations r &gt; 0.95). Third, the use of highly variable genes (HVGs) for k_f introduces systematic inflation: the calibration controls (random split of the same population) yielded a mean ω = 6.67, demonstrating that k_f systematically exceeds k_n even for identical populations. This inflation is a direct consequence of pre-selecting genes with high cross-cell variance. The permutation test accounts for this by comparing observed ω against a null distribution constructed under the same gene selection procedure with randomly permuted labels. A further concern is the circular dependency inherent in the per-pair k_f scheme: the top-200 differentially expressed genes are selected by |μ_A − μ_B|, meaning that the genes defining “functional divergence” are precisely those with the largest expression differences between the two groups under comparison. While the permutation test preserves this selection procedure under the null hypothesis, the circularity means that k_f magnitudes lack independent external validation and should be interpreted as an upper bound on functional divergence. Fourth, TCGA analysis was limited to bulk RNA-seq resolution; the per-cancer bootstrap (B = 1,000) permutes sample labels (tumor vs. normal) to construct the null distribution. With 5 cancer types, TCGA results should be interpreted as exploratory. Fifth, the brain analysis uses post-mortem tissue; post-mortem interval (PMI) varies across samples and may differentially affect RNA integrity by brain region and cell type, potentially introducing systematic biases in regional omega comparisons. Neuron-specific RNA degradation signatures (e.g., activity-dependent transcripts with short half-lives) could be disproportionately affected. However, astrocyte and oligodendrocyte signals dominate the residual model results, and these glial cell types tend to be less sensitive to PMI-related degradation than neurons. Developmental time courses with controlled collection conditions would provide stronger evidence for migration inference and help disentangle PMI effects from genuine developmental signatures. Sixth, the brain regional analysis generated 31,764 cross-region comparisons. Benjamini-Hochberg FDR correction was applied within each dataset separately (bootstrap: m = 10 for brain, 17 for human, 15 for mouse; residual model: m = 31,764 for unadjusted permutation P-values). The 30 Strong candidates from the multiplicative residual model represent the most extreme deviations from the expected log-linear relationship between regional divergence and physical distance; they should be interpreted as hypothesis-generating signals requiring independent validation. The systematic concordance with known developmental biology provides post hoc biological plausibility, but formal FDR-controlled discovery would require larger cohorts and pre-registered hypotheses. Seventh, the ω distribution is right-skewed and non-normal across all datasets (brain skewness = 2.22, excess kurtosis = 7.28; Shapiro-Wilk and D’Agostino-Pearson tests reject normality at P &lt; 0.001). Consequently, SES is reported as a descriptive measure of effect size rather than a parametric test statistic. Eighth, permutation testing of the residual model (B = 10,000 per-signal empirical P-values, Benjamini-Hochberg FDR across all 31,764 pairs) revealed that 14 of 30 Strong threshold-passing signals—comprising all 10 microglia, 1 fibroblast, and 3 vascular signals—did not reach statistical significance (all P ≥ 0.76). These signals should be interpreted with caution as they may reflect stochastic variation rather than robust biological patterns. Ninth, bootstrap 95% confidence intervals (B = 10,000, pair-level resampling) were computed for all key ω estimates; confidence interval widths scale inversely with the number of contributing pairs, such that cell types with fewer regional comparisons (e.g., Bergmann glia, 21 pairs) yield wider intervals than well-sampled types (e.g., astrocytes, 5,778 pairs). Tenth, the empirical calibration baseline (ω = 6.67) is derived from only n = 6 split-half controls in a single species (mouse); while calibrated omega (ω_cal = ω / 6.67) restores the interpretability of the ratio framework, the baseline may vary across tissues, species, and sequencing platforms, and a larger multi-dataset calibration study would strengthen the generality of this constant. Eleventh, k_n and k_f are computed on gene sets of different sizes (~1,130 HK genes vs. 200–2,000 HVG genes); while simulation confirmed that JS divergence between random distributions is dimensionally invariant (ratio = 1.001 between d = 1,130 and d = 2,000; Supplementary Fig. S10), the systematic inflation of k_f arises from HVG selection bias rather than dimensionality, and the calibrated omega absorbs this bias. Twelfth, the hybrid scheme used for human and TCGA analyses computes k_n globally (constant across all pairs), which reduces ω to a scaled k_f ranking; per-pair k_n analysis in the brain data (CV = 97.35%) showed that pair-specific k_n varies substantially and yields substantially different ω rankings (Spearman ρ = −0.027 vs. global-kn ω), confirming that the per-pair approach used for brain analysis is more informative but also more computationally expensive. Thirteenth, BH-FDR correction is applied separately within each dataset (mouse, human, TCGA, brain), which means that significance thresholds are not directly comparable across datasets; cross-dataset meta-analysis would require a unified multiple-testing framework. Fourteenth, CKI has not been validated on synthetic data with known ground-truth selection signals; while the calibration controls and OPC internal consistency check provide internal consistency checks, a simulation benchmark with injected functional divergence of known magnitude would provide stronger evidence for the method’s sensitivity and specificity. Fifteenth, key parameters (softmax temperature, pseudocount ε = 1e-9, top-200 DE genes for k_f, HVG count of 2,000, log-base 2 for JS divergence) were chosen based on practical considerations rather than formal optimization; while sensitivity analyses showed robustness to parameter variation, a systematic parameter sweep across all parameters simultaneously was not performed.</w:t>
      </w:r>
    </w:p>
    <w:p>
      <w:pPr>
        <w:spacing w:line="276" w:lineRule="auto" w:after="80"/>
        <w:ind w:firstLine="0"/>
      </w:pPr>
      <w:r>
        <w:rPr>
          <w:rFonts w:ascii="Arial" w:hAnsi="Arial"/>
          <w:b w:val="0"/>
          <w:i w:val="0"/>
          <w:color w:val="000000"/>
          <w:sz w:val="22"/>
        </w:rPr>
        <w:t>Sixteenth, the multiplicative residual model permutation analysis used B = 10,000 permutations with m = 31,764 tests. Due to P-value floor saturation (36.3% of signals at P = 9.99 × 10⁻⁵), formal Benjamini-Hochberg FDR correction is not applicable; the 16 Strong-tier signals reaching the P-value floor are interpreted as descriptive evidence of deviation from the multiplicative null model rather than FDR-controlled discoveries. Seventeenth, the empirical calibration factor (ω_cal = ω / 6.67) was derived from mouse split-half controls using a global HVG set for k_f, but is applied to human, TCGA, and brain analyses that use per-pair DE gene selection for k_f. The calibration factor has not been independently validated for the per-pair DE scheme, and cross-scheme transferability should be verified through matched calibration experiments in each analysis scheme.</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420" w:after="160"/>
      </w:pPr>
      <w:r>
        <w:rPr>
          <w:rFonts w:ascii="Arial" w:hAnsi="Arial"/>
          <w:color w:val="000000"/>
          <w:sz w:val="32"/>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(38). TCGA data: NCI Genomic Data Commons (https://portal.gdc.cancer.gov/). HRT Atlas (optional human/mouse HK reference): https://www.housekeeping.unicamp.br. Human brain atlas: CZ CELLxGENE Discover (collection ID as referenced in (11)). PAM50 centroids: from Parker et al. (20). MSigDB Hallmark gene sets: from Liberzon et al. (39). The CKI source code (v0.3.1) is publicly available at https://github.com/zhanglknt/CKI-cell-type-identification (tag v0.3.1) under the MIT License. A permanent archival copy has been deposited at Zenodo (DOI: 10.5281/zenodo.15670808). The package requires Python ≥3.9 and runs on Linux, macOS, and Windows. All analysis notebooks and processed data matrices are included in the Supplementary Data.</w:t>
      </w:r>
    </w:p>
    <w:p>
      <w:pPr>
        <w:pStyle w:val="Heading1"/>
        <w:spacing w:before="420" w:after="160"/>
      </w:pPr>
      <w:r>
        <w:rPr>
          <w:rFonts w:ascii="Arial" w:hAnsi="Arial"/>
          <w:color w:val="000000"/>
          <w:sz w:val="32"/>
          <w:b/>
        </w:rPr>
        <w:t>Supplementary Data</w:t>
      </w:r>
    </w:p>
    <w:p>
      <w:pPr>
        <w:spacing w:line="276" w:lineRule="auto" w:after="80"/>
        <w:ind w:firstLine="0"/>
      </w:pPr>
      <w:r>
        <w:rPr>
          <w:rFonts w:ascii="Arial" w:hAnsi="Arial"/>
          <w:b w:val="0"/>
          <w:i w:val="0"/>
          <w:color w:val="000000"/>
          <w:sz w:val="22"/>
        </w:rPr>
        <w:t>Supplementary Data are available at NAR Online.</w:t>
      </w:r>
    </w:p>
    <w:p>
      <w:pPr>
        <w:pStyle w:val="Heading1"/>
        <w:spacing w:before="420" w:after="160"/>
      </w:pPr>
      <w:r>
        <w:rPr>
          <w:rFonts w:ascii="Arial" w:hAnsi="Arial"/>
          <w:color w:val="000000"/>
          <w:sz w:val="32"/>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w:t>
      </w:r>
    </w:p>
    <w:p>
      <w:pPr>
        <w:pStyle w:val="Heading1"/>
        <w:spacing w:before="420" w:after="160"/>
      </w:pPr>
      <w:r>
        <w:rPr>
          <w:rFonts w:ascii="Arial" w:hAnsi="Arial"/>
          <w:color w:val="000000"/>
          <w:sz w:val="32"/>
          <w:b/>
        </w:rPr>
        <w:t>Author contributions</w:t>
      </w:r>
    </w:p>
    <w:p>
      <w:pPr>
        <w:spacing w:line="276" w:lineRule="auto" w:after="8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420" w:after="160"/>
      </w:pPr>
      <w:r>
        <w:rPr>
          <w:rFonts w:ascii="Arial" w:hAnsi="Arial"/>
          <w:color w:val="000000"/>
          <w:sz w:val="32"/>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420" w:after="160"/>
      </w:pPr>
      <w:r>
        <w:rPr>
          <w:rFonts w:ascii="Arial" w:hAnsi="Arial"/>
          <w:color w:val="000000"/>
          <w:sz w:val="32"/>
          <w:b/>
        </w:rPr>
        <w:t>Conflict of interest</w:t>
      </w:r>
    </w:p>
    <w:p>
      <w:pPr>
        <w:spacing w:line="276" w:lineRule="auto" w:after="80"/>
        <w:ind w:firstLine="0"/>
      </w:pPr>
      <w:r>
        <w:rPr>
          <w:rFonts w:ascii="Arial" w:hAnsi="Arial"/>
          <w:b w:val="0"/>
          <w:i w:val="0"/>
          <w:color w:val="000000"/>
          <w:sz w:val="22"/>
        </w:rPr>
        <w:t>The authors declare no competing interests.</w:t>
      </w:r>
    </w:p>
    <w:p>
      <w:pPr>
        <w:pStyle w:val="Heading1"/>
        <w:spacing w:before="420" w:after="160"/>
      </w:pPr>
      <w:r>
        <w:rPr>
          <w:rFonts w:ascii="Arial" w:hAnsi="Arial"/>
          <w:color w:val="000000"/>
          <w:sz w:val="32"/>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baseline-normalized transcriptomic remodeling. (B) Computational pipeline: raw count matrix → pseudobulk → JS divergence on HK genes (k_n) and identity genes (k_f) → ω = k_f/k_n. (C) Bootstrap ω distribution (B = 1,000 permutations, mouse pilot) with median indicated by dashed line. (D) Scatter plot of k_n vs. k_f, showing that functional variation dominates constrained baseline. (E) ω distribution with ω = 1 (baseline) marked by dashed line.</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constrained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8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(baseline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baseline (k_n) and functional (k_f) components.</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standardized effect size (SES) for NN vs. TT comparisons per cancer type. (E) Tissue-level pairwise ω matrix heatmap across five cancer types.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420" w:after="160"/>
      </w:pPr>
      <w:r>
        <w:rPr>
          <w:rFonts w:ascii="Arial" w:hAnsi="Arial"/>
          <w:color w:val="000000"/>
          <w:sz w:val="32"/>
          <w:b/>
        </w:rPr>
        <w:t>Supplementary Figure legends</w:t>
      </w:r>
    </w:p>
    <w:p>
      <w:pPr>
        <w:spacing w:line="276" w:lineRule="auto" w:after="8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8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80"/>
        <w:ind w:firstLine="0"/>
      </w:pPr>
      <w:r>
        <w:rPr>
          <w:rFonts w:ascii="Arial" w:hAnsi="Arial"/>
          <w:b w:val="0"/>
          <w:i w:val="0"/>
          <w:color w:val="000000"/>
          <w:sz w:val="22"/>
        </w:rPr>
        <w:t>Supplementary Figure S3.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8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8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with Spearman ρ and empirical P-value reported; broader spatial distribution is associated with greater transcriptomic divergence. (D) Region-region ω matrix for astrocytes across brain regions, with hierarchical clustering. (E) Migration candidate counts by tier (Strong, Moderate, Weak) across all 31,764 cross-region pairs.</w:t>
      </w:r>
    </w:p>
    <w:p>
      <w:pPr>
        <w:spacing w:line="276" w:lineRule="auto" w:after="8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among the 10 non-neuronal classes) provide a key internal consistency check, supporting that the model detects developmental-origin signatures rather than general motility. (C) Top 10 Strong candidates ranked by multiplicative residual, annotated with cell type and region pair. (D) Migration candidates by cell type and confidence tier, showing tier distribution across all 10 non-neuronal cell classes.</w:t>
      </w:r>
    </w:p>
    <w:p>
      <w:pPr>
        <w:spacing w:line="276" w:lineRule="auto" w:after="80"/>
        <w:ind w:firstLine="0"/>
      </w:pPr>
      <w:r>
        <w:rPr>
          <w:rFonts w:ascii="Arial" w:hAnsi="Arial"/>
          <w:b w:val="0"/>
          <w:i w:val="0"/>
          <w:color w:val="000000"/>
          <w:sz w:val="22"/>
        </w:rPr>
        <w:t>Supplementary Figure S8. ω distribution characterization. Histograms and Q-Q plots of ω distributions for brain, mouse, and human datasets, showing right-skewness and non-normality (Shapiro-Wilk and D’Agostino-Pearson tests, all P &lt; 0.001).</w:t>
      </w:r>
    </w:p>
    <w:p>
      <w:pPr>
        <w:spacing w:line="276" w:lineRule="auto" w:after="80"/>
        <w:ind w:firstLine="0"/>
      </w:pPr>
      <w:r>
        <w:rPr>
          <w:rFonts w:ascii="Arial" w:hAnsi="Arial"/>
          <w:b w:val="0"/>
          <w:i w:val="0"/>
          <w:color w:val="000000"/>
          <w:sz w:val="22"/>
        </w:rPr>
        <w:t>Supplementary Figure S9. Permutation null distribution for residual model. Distribution of multiplicative residuals under label permutation (B = 10,000), compared against observed residuals for Strong candidates.</w:t>
      </w:r>
    </w:p>
    <w:p>
      <w:pPr>
        <w:spacing w:line="276" w:lineRule="auto" w:after="80"/>
        <w:ind w:firstLine="0"/>
      </w:pPr>
      <w:r>
        <w:rPr>
          <w:rFonts w:ascii="Arial" w:hAnsi="Arial"/>
          <w:b w:val="0"/>
          <w:i w:val="0"/>
          <w:color w:val="000000"/>
          <w:sz w:val="22"/>
        </w:rPr>
        <w:t>Supplementary Figure S10.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80"/>
        <w:ind w:firstLine="0"/>
      </w:pPr>
      <w:r>
        <w:rPr>
          <w:rFonts w:ascii="Arial" w:hAnsi="Arial"/>
          <w:b w:val="0"/>
          <w:i w:val="0"/>
          <w:color w:val="000000"/>
          <w:sz w:val="22"/>
        </w:rPr>
        <w:t>Supplementary Figure S11. Per-pair k_n variability. (A) Per-pair k_n (mean ± SD) by cell type in the brain atlas, showing substantial cross-pair variability (CV = 97.35%). (B) Scatter plot of ω computed with per-pair k_n vs. global k_n (Spearman ρ = −0.027), demonstrating that pair-specific k_n yields substantially different rankings.</w:t>
      </w:r>
    </w:p>
    <w:p>
      <w:pPr>
        <w:spacing w:line="276" w:lineRule="auto" w:after="80"/>
        <w:ind w:firstLine="0"/>
      </w:pPr>
      <w:r>
        <w:rPr>
          <w:rFonts w:ascii="Arial" w:hAnsi="Arial"/>
          <w:b w:val="0"/>
          <w:i w:val="0"/>
          <w:color w:val="000000"/>
          <w:sz w:val="22"/>
        </w:rPr>
        <w:t>Supplementary Figure S12. Calibrated omega. (A) Raw vs. calibrated ω (ω_cal = ω / 6.67) by brain cell type. (B) Calibrated ω distribution across all 31,764 brain pairs, with calibration baseline (ω_cal = 1.0) and mean indicated.</w:t>
      </w:r>
    </w:p>
    <w:p>
      <w:pPr>
        <w:spacing w:line="276" w:lineRule="auto" w:after="80"/>
        <w:ind w:firstLine="0"/>
      </w:pPr>
      <w:r>
        <w:rPr>
          <w:rFonts w:ascii="Arial" w:hAnsi="Arial"/>
          <w:b w:val="0"/>
          <w:i w:val="0"/>
          <w:color w:val="000000"/>
          <w:sz w:val="22"/>
        </w:rPr>
        <w:t>Statistical conventions. All P-values are from one-sided permutation tests (B = 1,000 for mouse/human/TCGA/brain; B = 10,000 for the multiplicative residual model) unless otherwise specified. Benjamini-Hochberg FDR correction was applied within each dataset. Non-parametric tests (Spearman correlation, Mann-Whitney U, Kruskal-Wallis, Jonckheere-Terpstra) are two-sided and reported with exact P-values; descriptive statistics are reported as mean ± SD or median [IQR] as indicated. Effect sizes include standardized effect size (SES = (ω_obs − mean(ω_null)) / sd(ω_null)), computed from the bootstrap permutation null distribution. Bootstrap 95% confidence intervals use B = 10,000 resamples. All analyses use JS divergence with base-2 logarithm. Sample sizes (n) are reported for each comparison.</w:t>
      </w:r>
    </w:p>
    <w:p>
      <w:pPr>
        <w:pStyle w:val="Heading1"/>
        <w:spacing w:before="420" w:after="160"/>
      </w:pPr>
      <w:r>
        <w:rPr>
          <w:rFonts w:ascii="Arial" w:hAnsi="Arial"/>
          <w:color w:val="000000"/>
          <w:sz w:val="32"/>
          <w:b/>
        </w:rPr>
        <w:t>References</w:t>
      </w:r>
    </w:p>
    <w:p>
      <w:pPr>
        <w:spacing w:line="276" w:lineRule="auto" w:after="60"/>
      </w:pPr>
      <w:r>
        <w:rPr>
          <w:rFonts w:ascii="Arial" w:hAnsi="Arial"/>
          <w:color w:val="000000"/>
          <w:sz w:val="44"/>
        </w:rPr>
        <w:t>Regev,A., Teichmann,S.A., Lander,E.S., Amit,I., Benoist,C., Birney,E., Bodenmiller,B., Campbell,P., Carninci,P., Clatworthy,M. et al. (2017) The Human Cell Atlas. *eLife*, **6**, e27041.</w:t>
      </w:r>
    </w:p>
    <w:p>
      <w:pPr>
        <w:spacing w:line="276" w:lineRule="auto" w:after="60"/>
      </w:pPr>
      <w:r>
        <w:rPr>
          <w:rFonts w:ascii="Arial" w:hAnsi="Arial"/>
          <w:color w:val="000000"/>
          <w:sz w:val="44"/>
        </w:rPr>
        <w:t>Korsunsky,I., Millard,N., Fan,J., Slowikowski,K., Zhang,F., Wei,K., Baglaenko,Y., Brenner,M., Loh,P.R. and Raychaudhuri,S. (2019) Fast, sensitive and accurate integration of single-cell data with Harmony. *Nat. Methods*, **16**, 1289–1296.</w:t>
      </w:r>
    </w:p>
    <w:p>
      <w:pPr>
        <w:spacing w:line="276" w:lineRule="auto" w:after="60"/>
      </w:pPr>
      <w:r>
        <w:rPr>
          <w:rFonts w:ascii="Arial" w:hAnsi="Arial"/>
          <w:color w:val="000000"/>
          <w:sz w:val="44"/>
        </w:rPr>
        <w:t>Lopez,R., Regier,J., Cole,M.B., Jordan,M.I. and Yosef,N. (2018) Deep generative modeling for single-cell transcriptomics. *Nat. Methods*, **15**, 1053–1058.</w:t>
      </w:r>
    </w:p>
    <w:p>
      <w:pPr>
        <w:spacing w:line="276" w:lineRule="auto" w:after="60"/>
      </w:pPr>
      <w:r>
        <w:rPr>
          <w:rFonts w:ascii="Arial" w:hAnsi="Arial"/>
          <w:color w:val="000000"/>
          <w:sz w:val="44"/>
        </w:rPr>
        <w:t>Rosen,Y., Brbic,M., Roohani,Y., Swanson,K., Li,Z. and Leskovec,J. (2024) Toward universal cell embeddings: integrating single-cell RNA-seq datasets across species with SATURN. *Nat. Methods*, **21**, 1492–1500.</w:t>
      </w:r>
    </w:p>
    <w:p>
      <w:pPr>
        <w:spacing w:line="276" w:lineRule="auto" w:after="60"/>
      </w:pPr>
      <w:r>
        <w:rPr>
          <w:rFonts w:ascii="Arial" w:hAnsi="Arial"/>
          <w:color w:val="000000"/>
          <w:sz w:val="44"/>
        </w:rPr>
        <w:t>Tran,H.T.N., Ang,K.S., Chevrier,M., Zhang,X., Lee,N.Y.S., Goh,M. and Chen,J. (2020) A benchmark of batch-effect correction methods for single-cell RNA sequencing data. *Genome Biol.*, **21**, 12.</w:t>
      </w:r>
    </w:p>
    <w:p>
      <w:pPr>
        <w:spacing w:line="276" w:lineRule="auto" w:after="60"/>
      </w:pPr>
      <w:r>
        <w:rPr>
          <w:rFonts w:ascii="Arial" w:hAnsi="Arial"/>
          <w:color w:val="000000"/>
          <w:sz w:val="44"/>
        </w:rPr>
        <w:t>Nei,M. and Gojobori,T. (1986) Simple methods for estimating the numbers of synonymous and nonsynonymous nucleotide substitutions. *Mol. Biol. Evol.*, **3**, 418–426.</w:t>
      </w:r>
    </w:p>
    <w:p>
      <w:pPr>
        <w:spacing w:line="276" w:lineRule="auto" w:after="60"/>
      </w:pPr>
      <w:r>
        <w:rPr>
          <w:rFonts w:ascii="Arial" w:hAnsi="Arial"/>
          <w:color w:val="000000"/>
          <w:sz w:val="44"/>
        </w:rPr>
        <w:t>Tabula Muris Consortium (2018) Single-cell transcriptomics of 20 mouse organs creates a Tabula Muris. *Nature*, **562**, 367–372.</w:t>
      </w:r>
    </w:p>
    <w:p>
      <w:pPr>
        <w:spacing w:line="276" w:lineRule="auto" w:after="60"/>
      </w:pPr>
      <w:r>
        <w:rPr>
          <w:rFonts w:ascii="Arial" w:hAnsi="Arial"/>
          <w:color w:val="000000"/>
          <w:sz w:val="44"/>
        </w:rPr>
        <w:t>Tabula Sapiens Consortium (2022) The Tabula Sapiens: a multiple-organ, single-cell transcriptomic atlas of humans. *Science*, **376**, eabl4896.</w:t>
      </w:r>
    </w:p>
    <w:p>
      <w:pPr>
        <w:spacing w:line="276" w:lineRule="auto" w:after="60"/>
      </w:pPr>
      <w:r>
        <w:rPr>
          <w:rFonts w:ascii="Arial" w:hAnsi="Arial"/>
          <w:color w:val="000000"/>
          <w:sz w:val="44"/>
        </w:rPr>
        <w:t>Cancer Genome Atlas Research Network (2014) Comprehensive molecular profiling of lung adenocarcinoma. *Nature*, **511**, 543–550.</w:t>
      </w:r>
    </w:p>
    <w:p>
      <w:pPr>
        <w:spacing w:line="276" w:lineRule="auto" w:after="60"/>
      </w:pPr>
      <w:r>
        <w:rPr>
          <w:rFonts w:ascii="Arial" w:hAnsi="Arial"/>
          <w:color w:val="000000"/>
          <w:sz w:val="44"/>
        </w:rPr>
        <w:t>Cancer Genome Atlas Network (2012) Comprehensive molecular portraits of human breast tumours. *Nature*, **490**, 61–70.</w:t>
      </w:r>
    </w:p>
    <w:p>
      <w:pPr>
        <w:spacing w:line="276" w:lineRule="auto" w:after="60"/>
      </w:pPr>
      <w:r>
        <w:rPr>
          <w:rFonts w:ascii="Arial" w:hAnsi="Arial"/>
          <w:color w:val="000000"/>
          <w:sz w:val="44"/>
        </w:rPr>
        <w:t>Siletti,K., Hodge,R., Mossi Albiach,A., Lee,K.W., Ding,S.L., Hu,L., Lönnerberg,P., Bakken,T., Casper,T., Clark,M. et al. (2023) Transcriptomic diversity of cell types across the adult human brain. *Science*, **382**, eadl7046.</w:t>
      </w:r>
    </w:p>
    <w:p>
      <w:pPr>
        <w:spacing w:line="276" w:lineRule="auto" w:after="60"/>
      </w:pPr>
      <w:r>
        <w:rPr>
          <w:rFonts w:ascii="Arial" w:hAnsi="Arial"/>
          <w:color w:val="000000"/>
          <w:sz w:val="44"/>
        </w:rPr>
        <w:t>Luecken,M.D. and Theis,F.J. (2019) Current best practices in single-cell RNA-seq analysis: a tutorial. *Mol. Syst. Biol.*, **15**, e8746.</w:t>
      </w:r>
    </w:p>
    <w:p>
      <w:pPr>
        <w:spacing w:line="276" w:lineRule="auto" w:after="60"/>
      </w:pPr>
      <w:r>
        <w:rPr>
          <w:rFonts w:ascii="Arial" w:hAnsi="Arial"/>
          <w:color w:val="000000"/>
          <w:sz w:val="44"/>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60"/>
      </w:pPr>
      <w:r>
        <w:rPr>
          <w:rFonts w:ascii="Arial" w:hAnsi="Arial"/>
          <w:color w:val="000000"/>
          <w:sz w:val="44"/>
        </w:rPr>
        <w:t>Wolf,F.A., Angerer,P. and Theis,F.J. (2018) SCANPY: large-scale single-cell gene expression data analysis. *Genome Biol.*, **19**, 15.</w:t>
      </w:r>
    </w:p>
    <w:p>
      <w:pPr>
        <w:spacing w:line="276" w:lineRule="auto" w:after="60"/>
      </w:pPr>
      <w:r>
        <w:rPr>
          <w:rFonts w:ascii="Arial" w:hAnsi="Arial"/>
          <w:color w:val="000000"/>
          <w:sz w:val="44"/>
        </w:rPr>
        <w:t>Hao,Y., Hao,S., Andersen-Nissen,E., Mauck,W.M. 3rd, Zheng,S., Butler,A., Lee,M.J., Wilk,A.J., Darby,C., Zager,M. et al. (2021) Integrated analysis of multimodal single-cell data. *Cell*, **184**, 3573–3587.</w:t>
      </w:r>
    </w:p>
    <w:p>
      <w:pPr>
        <w:spacing w:line="276" w:lineRule="auto" w:after="60"/>
      </w:pPr>
      <w:r>
        <w:rPr>
          <w:rFonts w:ascii="Arial" w:hAnsi="Arial"/>
          <w:color w:val="000000"/>
          <w:sz w:val="44"/>
        </w:rPr>
        <w:t>Hao,Y., Stuart,T., Kowalski,M.H., Choudhary,S., Hoffman,P., Hartman,A., Srivastava,A., Molla,G., Madad,S., Fernandez-Granda,C. et al. (2024) Dictionary learning for integrative, multimodal and scalable single-cell analysis. *Nat. Biotechnol.*, **42**, 293–304.</w:t>
      </w:r>
    </w:p>
    <w:p>
      <w:pPr>
        <w:spacing w:line="276" w:lineRule="auto" w:after="60"/>
      </w:pPr>
      <w:r>
        <w:rPr>
          <w:rFonts w:ascii="Arial" w:hAnsi="Arial"/>
          <w:color w:val="000000"/>
          <w:sz w:val="44"/>
        </w:rPr>
        <w:t>Weinstein,J.N., Collisson,E.A., Mills,G.B., Shaw,K.R., Ozenberger,B.A., Ellrott,K., Shmulevich,I., Sander,C. and Stuart,J.M. (2013) The Cancer Genome Atlas Pan-Cancer analysis project. *Nat. Genet.*, **45**, 1113–1120.</w:t>
      </w:r>
    </w:p>
    <w:p>
      <w:pPr>
        <w:spacing w:line="276" w:lineRule="auto" w:after="60"/>
      </w:pPr>
      <w:r>
        <w:rPr>
          <w:rFonts w:ascii="Arial" w:hAnsi="Arial"/>
          <w:color w:val="000000"/>
          <w:sz w:val="44"/>
        </w:rPr>
        <w:t>Colaprico,A., Silva,T.C., Olsen,C., Garofano,L., Cava,C., Garolini,D., Sabedot,T.S., Malta,T.M., Pagnotta,S.M., Castiglioni,I. et al. (2016) TCGAbiolinks: an R/Bioconductor package for integrative analysis of TCGA data. *Nucleic Acids Res.*, **44**, e71.</w:t>
      </w:r>
    </w:p>
    <w:p>
      <w:pPr>
        <w:spacing w:line="276" w:lineRule="auto" w:after="60"/>
      </w:pPr>
      <w:r>
        <w:rPr>
          <w:rFonts w:ascii="Arial" w:hAnsi="Arial"/>
          <w:color w:val="000000"/>
          <w:sz w:val="44"/>
        </w:rPr>
        <w:t>Cerami,E., Gao,J., Dogrusoz,U., Gross,B.E., Sumer,S.O., Aksoy,B.A., Jacobsen,A., Byrne,C.J., Heuer,M.L., Larsson,E. et al. (2012) The cBio cancer genomics portal: an open platform for exploring multidimensional cancer genomics data. *Cancer Discov.*, **2**, 401–404.</w:t>
      </w:r>
    </w:p>
    <w:p>
      <w:pPr>
        <w:spacing w:line="276" w:lineRule="auto" w:after="60"/>
      </w:pPr>
      <w:r>
        <w:rPr>
          <w:rFonts w:ascii="Arial" w:hAnsi="Arial"/>
          <w:color w:val="000000"/>
          <w:sz w:val="44"/>
        </w:rPr>
        <w:t>Perou,C.M., Sørlie,T., Eisen,M.B., van de Rijn,M., Jeffrey,S.S., Rees,C.A., Pollack,J.R., Ross,D.T., Johnsen,H., Akslen,L.A. et al. (2000) Molecular portraits of human breast tumours. *Nature*, **406**, 747–752.</w:t>
      </w:r>
    </w:p>
    <w:p>
      <w:pPr>
        <w:spacing w:line="276" w:lineRule="auto" w:after="60"/>
      </w:pPr>
      <w:r>
        <w:rPr>
          <w:rFonts w:ascii="Arial" w:hAnsi="Arial"/>
          <w:color w:val="000000"/>
          <w:sz w:val="44"/>
        </w:rPr>
        <w:t>Parker,J.S., Mullins,M., Cheang,M.C.U., Leung,S., Voduc,D., Vickery,T., Davies,S., Fauron,C., He,X., Hu,Z. et al. (2009) Supervised risk predictor of breast cancer based on intrinsic subtypes. *J. Clin. Oncol.*, **27**, 1160–1167.</w:t>
      </w:r>
    </w:p>
    <w:p>
      <w:pPr>
        <w:spacing w:line="276" w:lineRule="auto" w:after="60"/>
      </w:pPr>
      <w:r>
        <w:rPr>
          <w:rFonts w:ascii="Arial" w:hAnsi="Arial"/>
          <w:color w:val="000000"/>
          <w:sz w:val="44"/>
        </w:rPr>
        <w:t>Edmondson,H.A. and Steiner,P.E. (1954) Primary carcinoma of the liver: a study of 100 cases among 48,900 necropsies. *Cancer*, **7**, 462–503.</w:t>
      </w:r>
    </w:p>
    <w:p>
      <w:pPr>
        <w:spacing w:line="276" w:lineRule="auto" w:after="60"/>
      </w:pPr>
      <w:r>
        <w:rPr>
          <w:rFonts w:ascii="Arial" w:hAnsi="Arial"/>
          <w:color w:val="000000"/>
          <w:sz w:val="44"/>
        </w:rPr>
        <w:t>Storey,J.D. and Tibshirani,R. (2003) Statistical significance for genomewide studies. *Proc. Natl. Acad. Sci. USA*, **100**, 9440–9445.</w:t>
      </w:r>
    </w:p>
    <w:p>
      <w:pPr>
        <w:spacing w:line="276" w:lineRule="auto" w:after="60"/>
      </w:pPr>
      <w:r>
        <w:rPr>
          <w:rFonts w:ascii="Arial" w:hAnsi="Arial"/>
          <w:color w:val="000000"/>
          <w:sz w:val="44"/>
        </w:rPr>
        <w:t>Wälchli,T., Ghobrial,M., Schwab,M.E., Takada,S., Zhong,H., Suntharalingham,S., Vetiska,S., Gonzalez,D.R., Wu,R., Rehrauer,H. et al. (2024) Single-cell atlas of the human brain vasculature across development, adulthood and disease. *Nature*, **632**, 603–613.</w:t>
      </w:r>
    </w:p>
    <w:p>
      <w:pPr>
        <w:spacing w:line="276" w:lineRule="auto" w:after="60"/>
      </w:pPr>
      <w:r>
        <w:rPr>
          <w:rFonts w:ascii="Arial" w:hAnsi="Arial"/>
          <w:color w:val="000000"/>
          <w:sz w:val="44"/>
        </w:rPr>
        <w:t>Tsai,H.H., Niu,J., Munji,R., Davalos,D., Chang,J., Zhang,H., Tien,A.C., Kuo,C.J., Chan,J.R., Daneman,R. et al. (2016) Oligodendrocyte precursors migrate along vasculature in the developing nervous system. *Science*, **351**, 379–384.</w:t>
      </w:r>
    </w:p>
    <w:p>
      <w:pPr>
        <w:spacing w:line="276" w:lineRule="auto" w:after="60"/>
      </w:pPr>
      <w:r>
        <w:rPr>
          <w:rFonts w:ascii="Arial" w:hAnsi="Arial"/>
          <w:color w:val="000000"/>
          <w:sz w:val="44"/>
        </w:rPr>
        <w:t>Akay,L.A., Effenberger,A.H. and Tsai,L.H. (2022) Astrocyte endfoot formation controls the termination of oligodendrocyte precursor cell perivascular migration. *Neuron*, **111**, 190–201.e8.</w:t>
      </w:r>
    </w:p>
    <w:p>
      <w:pPr>
        <w:spacing w:line="276" w:lineRule="auto" w:after="60"/>
      </w:pPr>
      <w:r>
        <w:rPr>
          <w:rFonts w:ascii="Arial" w:hAnsi="Arial"/>
          <w:color w:val="000000"/>
          <w:sz w:val="44"/>
        </w:rPr>
        <w:t>Foerster,S., Floriddia,E.M., Neumann,B., Agirre,E., Castelo-Branco,G. and Franklin,R.J.M. (2024) Developmental origin of oligodendrocytes determines their function in the adult brain. *Nat. Neurosci.*, **27**, 1155–1165.</w:t>
      </w:r>
    </w:p>
    <w:p>
      <w:pPr>
        <w:spacing w:line="276" w:lineRule="auto" w:after="60"/>
      </w:pPr>
      <w:r>
        <w:rPr>
          <w:rFonts w:ascii="Arial" w:hAnsi="Arial"/>
          <w:color w:val="000000"/>
          <w:sz w:val="44"/>
        </w:rPr>
        <w:t>Reeber,S.L., Arancillo,M. and Sillitoe,R.V. (2015) Bergmann glia are patterned into topographic molecular zones in the cerebellum. *Cerebellum*, **14**, 392–403.</w:t>
      </w:r>
    </w:p>
    <w:p>
      <w:pPr>
        <w:spacing w:line="276" w:lineRule="auto" w:after="60"/>
      </w:pPr>
      <w:r>
        <w:rPr>
          <w:rFonts w:ascii="Arial" w:hAnsi="Arial"/>
          <w:color w:val="000000"/>
          <w:sz w:val="44"/>
        </w:rPr>
        <w:t>Endo,F., Kasai,A., Cui,W., Tanaka,K.F. and Hashimoto,H. (2024) Astrocyte allocation during brain development is controlled by Tcf4-mediated fate restriction. *EMBO J.*, **43**, 4423–4447.</w:t>
      </w:r>
    </w:p>
    <w:p>
      <w:pPr>
        <w:spacing w:line="276" w:lineRule="auto" w:after="60"/>
      </w:pPr>
      <w:r>
        <w:rPr>
          <w:rFonts w:ascii="Arial" w:hAnsi="Arial"/>
          <w:color w:val="000000"/>
          <w:sz w:val="44"/>
        </w:rPr>
        <w:t>Yang,L., Zhao,Z., Li,Y., Wang,J., Chen,X. and Liu,Z. (2024) Single-cell multi-omics analysis of lineage development and spatial organization in the human fetal cerebellum. *Cell Discov.*, **10**, 25.</w:t>
      </w:r>
    </w:p>
    <w:p>
      <w:pPr>
        <w:spacing w:line="276" w:lineRule="auto" w:after="60"/>
      </w:pPr>
      <w:r>
        <w:rPr>
          <w:rFonts w:ascii="Arial" w:hAnsi="Arial"/>
          <w:color w:val="000000"/>
          <w:sz w:val="44"/>
        </w:rPr>
        <w:t>Shemer,A. and Jung,S. (2024) The molecular determinants of microglial developmental colonization. *Nat. Rev. Neurosci.*, **25**, 414–427.</w:t>
      </w:r>
    </w:p>
    <w:p>
      <w:pPr>
        <w:spacing w:line="276" w:lineRule="auto" w:after="60"/>
      </w:pPr>
      <w:r>
        <w:rPr>
          <w:rFonts w:ascii="Arial" w:hAnsi="Arial"/>
          <w:color w:val="000000"/>
          <w:sz w:val="44"/>
        </w:rPr>
        <w:t>Menassa,D.A., Muntslag,T.A.O., Martin-Estebané,M., Barry-Carroll,L., Chapman,M.A., Adorjan,I., Tyler,T., Turnbull,B., Rose-Zerilli,M.J.J., Nicoll,J.A.R. et al. (2022) The spatiotemporal dynamics of microglia across the human lifespan. *Dev. Cell*, **57**, 2127–2139.e6.</w:t>
      </w:r>
    </w:p>
    <w:p>
      <w:pPr>
        <w:spacing w:line="276" w:lineRule="auto" w:after="60"/>
      </w:pPr>
      <w:r>
        <w:rPr>
          <w:rFonts w:ascii="Arial" w:hAnsi="Arial"/>
          <w:color w:val="000000"/>
          <w:sz w:val="44"/>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60"/>
      </w:pPr>
      <w:r>
        <w:rPr>
          <w:rFonts w:ascii="Arial" w:hAnsi="Arial"/>
          <w:color w:val="000000"/>
          <w:sz w:val="44"/>
        </w:rPr>
        <w:t>Schaffenrath,J., Huang,S.F., Wyss,T., Delorenzi,M. and Keller,A. (2024) Characteristics of blood-brain barrier heterogeneity between brain regions. *Nat. Neurosci.*, **27**, 1851–1865.</w:t>
      </w:r>
    </w:p>
    <w:p>
      <w:pPr>
        <w:spacing w:line="276" w:lineRule="auto" w:after="60"/>
      </w:pPr>
      <w:r>
        <w:rPr>
          <w:rFonts w:ascii="Arial" w:hAnsi="Arial"/>
          <w:color w:val="000000"/>
          <w:sz w:val="44"/>
        </w:rPr>
        <w:t>Jones,H.E., Coelho-Santos,V., Bonney,S.K., Abrams,S.R., Shih,A.Y. and Siegenthaler,J.A. (2023) Meningeal origins and dynamics of perivascular fibroblast development. *Development*, **150**, dev201805.</w:t>
      </w:r>
    </w:p>
    <w:p>
      <w:pPr>
        <w:spacing w:line="276" w:lineRule="auto" w:after="60"/>
      </w:pPr>
      <w:r>
        <w:rPr>
          <w:rFonts w:ascii="Arial" w:hAnsi="Arial"/>
          <w:color w:val="000000"/>
          <w:sz w:val="44"/>
        </w:rPr>
        <w:t>Tarashansky,A.J., Musser,J.M., Khariton,M., Li,P., Arendt,D., Quake,S.R. and Wang,B. (2021) Mapping single-cell atlases throughout Metazoa unravels cell type evolution. *eLife*, **10**, e66747.</w:t>
      </w:r>
    </w:p>
    <w:p>
      <w:pPr>
        <w:spacing w:line="276" w:lineRule="auto" w:after="60"/>
      </w:pPr>
      <w:r>
        <w:rPr>
          <w:rFonts w:ascii="Arial" w:hAnsi="Arial"/>
          <w:color w:val="000000"/>
          <w:sz w:val="44"/>
        </w:rPr>
        <w:t>Jiang,J., Li,J., Huang,Y., Wang,Y., Chen,L. and Zhang,X. (2024) CACIMAR: cross-species analysis of cell identities, markers, regulations, and interactions. *Brief. Bioinform.*, **25**, bbae283.</w:t>
      </w:r>
    </w:p>
    <w:p>
      <w:pPr>
        <w:spacing w:line="276" w:lineRule="auto" w:after="60"/>
      </w:pPr>
      <w:r>
        <w:rPr>
          <w:rFonts w:ascii="Arial" w:hAnsi="Arial"/>
          <w:color w:val="000000"/>
          <w:sz w:val="44"/>
        </w:rPr>
        <w:t>CZI Cell Science Program (2025) CZ CELLxGENE Discover: a single-cell data platform for scalable exploration, analysis and modeling of aggregated data. *Nucleic Acids Res.*, **53**, D886–D900.</w:t>
      </w:r>
    </w:p>
    <w:p>
      <w:pPr>
        <w:spacing w:line="276" w:lineRule="auto" w:after="60"/>
      </w:pPr>
      <w:r>
        <w:rPr>
          <w:rFonts w:ascii="Arial" w:hAnsi="Arial"/>
          <w:color w:val="000000"/>
          <w:sz w:val="44"/>
        </w:rPr>
        <w:t>Liberzon,A., Birger,C., Thorvaldsdóttir,H., Ghandi,M., Mesirov,J.P. and Tamayo,P. (2015) The Molecular Signatures Database Hallmark Gene Set Collection. *Cell Syst.*, **1**, 417–425.</w:t>
      </w:r>
    </w:p>
    <w:p>
      <w:pPr>
        <w:spacing w:line="276" w:lineRule="auto" w:after="60"/>
      </w:pPr>
      <w:r>
        <w:rPr>
          <w:rFonts w:ascii="Arial" w:hAnsi="Arial"/>
          <w:color w:val="000000"/>
          <w:sz w:val="44"/>
        </w:rPr>
        <w:t>Yang,Z. (2007) PAML 4: phylogenetic analysis by maximum likelihood. *Mol. Biol. Evol.*, **24**, 1586–1591.</w:t>
      </w:r>
    </w:p>
    <w:p>
      <w:pPr>
        <w:spacing w:line="276" w:lineRule="auto" w:after="60"/>
      </w:pPr>
      <w:r>
        <w:rPr>
          <w:rFonts w:ascii="Arial" w:hAnsi="Arial"/>
          <w:color w:val="000000"/>
          <w:sz w:val="44"/>
        </w:rPr>
        <w:t>Tan,Y.L., Yuan,Y. and Tian,L. (2020) Microglial regional heterogeneity and its role in the brain. *Mol. Psychiatry*, **25**, 351–367.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