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
        </w:rPr>
        <w:t>CKI: A Cell-state Kinetic Index for Quantifying Baseline-Normalized Transcriptomic Remodeling</w:t>
      </w:r>
    </w:p>
    <w:p>
      <w:pPr>
        <w:jc w:val="center"/>
      </w:pPr>
      <w:r>
        <w:rPr>
          <w:rFonts w:ascii="Arial" w:hAnsi="Arial"/>
          <w:color w:val="000000"/>
          <w:sz w:val="44"/>
        </w:rPr>
        <w:t>Running title: CKI: Baseline-Normalized Divergence Index</w:t>
      </w:r>
    </w:p>
    <w:p>
      <w:pPr>
        <w:jc w:val="center"/>
      </w:pPr>
      <w:r>
        <w:rPr>
          <w:rFonts w:ascii="Arial" w:hAnsi="Arial"/>
          <w:color w:val="000000"/>
          <w:sz w:val="42"/>
        </w:rPr>
        <w:t>Xianming Wu</w:t>
      </w:r>
      <w:r>
        <w:rPr>
          <w:rFonts w:ascii="Arial" w:hAnsi="Arial"/>
          <w:color w:val="000000"/>
          <w:sz w:val="22"/>
          <w:vertAlign w:val="superscript"/>
        </w:rPr>
        <w:t>1</w:t>
      </w:r>
      <w:r>
        <w:t xml:space="preserve">, </w:t>
      </w:r>
      <w:r>
        <w:rPr>
          <w:rFonts w:ascii="Arial" w:hAnsi="Arial"/>
          <w:color w:val="000000"/>
          <w:sz w:val="42"/>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44"/>
          <w:vertAlign w:val="superscript"/>
        </w:rPr>
        <w:t>1</w:t>
      </w:r>
      <w:r>
        <w:rPr>
          <w:rFonts w:ascii="Arial" w:hAnsi="Arial"/>
          <w:color w:val="000000"/>
          <w:sz w:val="44"/>
        </w:rPr>
        <w:t>Chinese Institute for Brain Research, Beijing, China</w:t>
      </w:r>
    </w:p>
    <w:p>
      <w:pPr>
        <w:jc w:val="center"/>
      </w:pPr>
      <w:r>
        <w:rPr>
          <w:rFonts w:ascii="Arial" w:hAnsi="Arial"/>
          <w:color w:val="000000"/>
          <w:sz w:val="44"/>
          <w:vertAlign w:val="superscript"/>
        </w:rPr>
        <w:t>2</w:t>
      </w:r>
      <w:r>
        <w:rPr>
          <w:rFonts w:ascii="Arial" w:hAnsi="Arial"/>
          <w:color w:val="000000"/>
          <w:sz w:val="44"/>
        </w:rPr>
        <w:t>Institute of Blood Transfusion, Chinese Academy of Medical Sciences &amp; Peking Union Medical College, Chengdu, China</w:t>
      </w:r>
    </w:p>
    <w:p>
      <w:pPr>
        <w:jc w:val="center"/>
      </w:pPr>
      <w:r>
        <w:rPr>
          <w:rFonts w:ascii="Arial" w:hAnsi="Arial"/>
          <w:color w:val="000000"/>
          <w:sz w:val="44"/>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32"/>
          <w:b/>
        </w:rPr>
        <w:t>Graphical Abstract</w:t>
      </w:r>
    </w:p>
    <w:p>
      <w:pPr>
        <w:spacing w:line="276" w:lineRule="auto" w:after="80"/>
        <w:ind w:firstLine="0"/>
      </w:pPr>
      <w:r>
        <w:rPr>
          <w:rFonts w:ascii="Arial" w:hAnsi="Arial"/>
          <w:b w:val="0"/>
          <w:i w:val="0"/>
          <w:color w:val="000000"/>
          <w:sz w:val="22"/>
        </w:rPr>
        <w:t>[See separate Graphical Abstract file (CKI_graphical_abstract.pdf).]</w:t>
      </w:r>
    </w:p>
    <w:p>
      <w:pPr>
        <w:pStyle w:val="Heading1"/>
        <w:spacing w:before="420" w:after="160"/>
      </w:pPr>
      <w:r>
        <w:rPr>
          <w:rFonts w:ascii="Arial" w:hAnsi="Arial"/>
          <w:color w:val="000000"/>
          <w:sz w:val="32"/>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95% bootstrap CI [4.12, 9.33],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(two reaching statistical significance) among 31,764 comparisons. CKI provides a principled framework for quantifying functional transcriptomic divergence relative to an internal baseline, available as an open-source Python package.</w:t>
      </w:r>
    </w:p>
    <w:p>
      <w:pPr>
        <w:jc w:val="center"/>
      </w:pPr>
      <w:r>
        <w:rPr>
          <w:rFonts w:ascii="Arial" w:hAnsi="Arial"/>
          <w:color w:val="000000"/>
          <w:sz w:val="44"/>
        </w:rPr>
        <w:t>Keywords: cell-state divergence, housekeeping genes, Jensen-Shannon decomposition, transcriptomic remodeling, single-cell genomics</w:t>
      </w:r>
    </w:p>
    <w:p>
      <w:pPr>
        <w:pStyle w:val="Heading1"/>
        <w:spacing w:before="420" w:after="160"/>
      </w:pPr>
      <w:r>
        <w:rPr>
          <w:rFonts w:ascii="Arial" w:hAnsi="Arial"/>
          <w:color w:val="000000"/>
          <w:sz w:val="32"/>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(7), confirming that random splits of the same cell population yield ω above 1 (empirical calibration baseline 6.67, 95% bootstrap CI [4.12, 9.33]). Second, we extended CKI to Tabula Sapiens human data (8) and found that CKI ω is negatively correlated with all four standard distance metrics, demonstrating that it captures an independent information dimension. Third, we applied CKI to TCGA cancer data (9,10), revealing that tumors are paradoxically more transcriptionally homogeneous than normal tissues. Fourth, we used CKI to analyze a human brain single-nucleus atlas (11), measuring how the same cell types differ across brain regions and demonstrating that CKI can detect persistent developmental signatures—including developmental origin heterogeneity and compartmentalized developmental specification (both statistically significant), as well as colonization route boundaries and a postnatal migration event (exploratory, not statistically significant)—from adult transcriptomic data.</w:t>
      </w:r>
    </w:p>
    <w:p>
      <w:pPr>
        <w:pStyle w:val="Heading1"/>
        <w:spacing w:before="420" w:after="160"/>
      </w:pPr>
      <w:r>
        <w:rPr>
          <w:rFonts w:ascii="Arial" w:hAnsi="Arial"/>
          <w:color w:val="000000"/>
          <w:sz w:val="32"/>
          <w:b/>
        </w:rPr>
        <w:t>Materials and Methods</w:t>
      </w:r>
    </w:p>
    <w:p>
      <w:pPr>
        <w:pStyle w:val="Heading2"/>
        <w:spacing w:before="420" w:after="160"/>
      </w:pPr>
      <w:r>
        <w:rPr>
          <w:rFonts w:ascii="Arial" w:hAnsi="Arial"/>
          <w:color w:val="000000"/>
          <w:sz w:val="28"/>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(12). Pseudobulk vectors are computed by averaging expression across cells sharing the same cell-type annotation, requiring at least 10 cells per group. Housekeeping (HK) genes are loaded from the HRT Atlas v1.0 reference (13)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420" w:after="160"/>
      </w:pPr>
      <w:r>
        <w:rPr>
          <w:rFonts w:ascii="Arial" w:hAnsi="Arial"/>
          <w:color w:val="000000"/>
          <w:sz w:val="28"/>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8"/>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reported as a descriptive measure of separation magnitude. Given the non-normal ω distribution, SES is interpreted as a non-parametric descriptive statistic complementing the permutation P-value, not as a parametric test statistic such as Cohen’s d.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8"/>
          <w:b/>
        </w:rPr>
        <w:t>Datasets</w:t>
      </w:r>
    </w:p>
    <w:p>
      <w:pPr>
        <w:spacing w:line="276" w:lineRule="auto" w:after="80"/>
        <w:ind w:firstLine="0"/>
      </w:pPr>
      <w:r>
        <w:rPr>
          <w:rFonts w:ascii="Arial" w:hAnsi="Arial"/>
          <w:b w:val="0"/>
          <w:i w:val="0"/>
          <w:color w:val="000000"/>
          <w:sz w:val="22"/>
        </w:rPr>
        <w:t>Tabula Muris FACS SmartSeq2 (7): 15,057 cells, 22,308 genes, 6 organs (liver, kidney, spleen, lung, heart, bone marrow). Post-QC: 32 cell-type entries (each with at least 10 cells). Highly variable genes selected using scanpy (14) with flavor="seurat" (15,16) and n_top_genes=2,000.</w:t>
      </w:r>
    </w:p>
    <w:p>
      <w:pPr>
        <w:spacing w:line="276" w:lineRule="auto" w:after="80"/>
        <w:ind w:firstLine="0"/>
      </w:pPr>
      <w:r>
        <w:rPr>
          <w:rFonts w:ascii="Arial" w:hAnsi="Arial"/>
          <w:b w:val="0"/>
          <w:i w:val="0"/>
          <w:color w:val="000000"/>
          <w:sz w:val="22"/>
        </w:rPr>
        <w:t>Tabula Sapiens v1.0 (8): accessed via CZ CELLxGENE Discover. Post-QC: 108,136 cells (6 h5ad files total), 51,852 genes, 102 cell-type entries across 6 organs. HK genes: HRT Atlas v1.0 reference (1,130 genes; human column).</w:t>
      </w:r>
    </w:p>
    <w:p>
      <w:pPr>
        <w:spacing w:line="276" w:lineRule="auto" w:after="80"/>
        <w:ind w:firstLine="0"/>
      </w:pPr>
      <w:r>
        <w:rPr>
          <w:rFonts w:ascii="Arial" w:hAnsi="Arial"/>
          <w:b w:val="0"/>
          <w:i w:val="0"/>
          <w:color w:val="000000"/>
          <w:sz w:val="22"/>
        </w:rPr>
        <w:t>TCGA bulk RNA-seq (17): five cancer types from NCI Genomic Data Commons, accessed via TCGAbiolinks (18) and cBioPortal (19) APIs. LUAD: 495 tumor + 76 normal; LUSC: 567 tumor + 58 normal; LIHC: 365 tumor + 57 normal; KIRC: 755 tumor + 82 normal; BRCA: 1032 tumor + 109 normal. TPM values from UCSC Xena, log2(TPM + 1) transformed. PAM50 classification (20,21): nearest centroid (Pearson correlation), 44 of 47 PAM50 genes matched. LIHC Edmondson grade (22):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(11):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(10,932), fibroblasts (10,156), ependymal cells (7,882), choroid plexus (9,689),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420" w:after="160"/>
      </w:pPr>
      <w:r>
        <w:rPr>
          <w:rFonts w:ascii="Arial" w:hAnsi="Arial"/>
          <w:color w:val="000000"/>
          <w:sz w:val="28"/>
          <w:b/>
        </w:rPr>
        <w:t>Method comparison</w:t>
      </w:r>
    </w:p>
    <w:p>
      <w:pPr>
        <w:spacing w:line="276" w:lineRule="auto" w:after="8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420" w:after="160"/>
      </w:pPr>
      <w:r>
        <w:rPr>
          <w:rFonts w:ascii="Arial" w:hAnsi="Arial"/>
          <w:color w:val="000000"/>
          <w:sz w:val="28"/>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420" w:after="160"/>
      </w:pPr>
      <w:r>
        <w:rPr>
          <w:rFonts w:ascii="Arial" w:hAnsi="Arial"/>
          <w:color w:val="000000"/>
          <w:sz w:val="28"/>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(20,21); 44 of 47 PAM50 genes matched to TCGA gene symbols. LIHC Edmondson histological grades (22)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8"/>
          <w:b/>
        </w:rPr>
        <w:t>Computational environment</w:t>
      </w:r>
    </w:p>
    <w:p>
      <w:pPr>
        <w:spacing w:line="276" w:lineRule="auto" w:after="80"/>
        <w:ind w:firstLine="0"/>
      </w:pPr>
      <w:r>
        <w:rPr>
          <w:rFonts w:ascii="Arial" w:hAnsi="Arial"/>
          <w:b w:val="0"/>
          <w:i w:val="0"/>
          <w:color w:val="000000"/>
          <w:sz w:val="22"/>
        </w:rPr>
        <w:t>All analyses were performed in Python 3.13.12 with scanpy &gt;= 1.9.0 (14), scipy &gt;= 1.10.0, numpy &gt;= 1.23.0, pandas &gt;= 1.5.0, matplotlib &gt;= 3.6.0, seaborn &gt;= 0.12.0, and scikit-learn &gt;= 1.2.0. All random seeds were fixed at 42 for reproducibility. Bootstrap permutation results are stable with respect to the random seed choice: with B = 1,000 permutations, the Monte Carlo standard error of the empirical P-value is approximately 0.016 at P = 0.5 and 0.001 at P = 0.001, meaning seed variation has negligible impact on statistical conclusions.</w:t>
      </w:r>
    </w:p>
    <w:p>
      <w:pPr>
        <w:pStyle w:val="Heading2"/>
        <w:spacing w:before="420" w:after="160"/>
      </w:pPr>
      <w:r>
        <w:rPr>
          <w:rFonts w:ascii="Arial" w:hAnsi="Arial"/>
          <w:color w:val="000000"/>
          <w:sz w:val="28"/>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(23).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non-parametric descriptive statistic complementing the permutation P-value, not as a parametric test statistic such as Cohen’s d. The calibration experiment using split-half equivalent populations (n = 6 random splits of the same tissue) yielded a mean ω = 6.67 (95% bootstrap CI [4.12, 9.33], B = 10,000 resamples of the 6 control ω values),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32"/>
          <w:b/>
        </w:rPr>
        <w:t>Results</w:t>
      </w:r>
    </w:p>
    <w:p>
      <w:pPr>
        <w:pStyle w:val="Heading2"/>
        <w:spacing w:before="420" w:after="160"/>
      </w:pPr>
      <w:r>
        <w:rPr>
          <w:rFonts w:ascii="Arial" w:hAnsi="Arial"/>
          <w:color w:val="000000"/>
          <w:sz w:val="28"/>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(13),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8"/>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(7) (SmartSeq2, 15,057 cells, 22,308 genes, 6 organs). Housekeeping genes were loaded from the HRT Atlas v1.0 reference (13)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60%),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~60%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420" w:after="160"/>
      </w:pPr>
      <w:r>
        <w:rPr>
          <w:rFonts w:ascii="Arial" w:hAnsi="Arial"/>
          <w:color w:val="000000"/>
          <w:sz w:val="28"/>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(8)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(13) (human column) (Fig. 3).</w:t>
      </w:r>
    </w:p>
    <w:p>
      <w:pPr>
        <w:spacing w:line="276" w:lineRule="auto" w:after="8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0.716, ranked 4th of 5 methods, above Spearman distance at AUC = 0.690 but below cosine distance at AUC = 0.887; Table 1). This moderate ranking is expected by design: CKI down-weights shared HK gene patterns to isolate functional divergence, trading some ability to detect global transcriptional identity for enhanced sensitivity to functional specialization. The AUC rank therefore validates that CKI captures a distinct signal rather than being a better general-purpose classifier.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8"/>
          <w:b/>
        </w:rPr>
        <w:t>Cancer analysis reveals unexpected transcriptional convergence</w:t>
      </w:r>
    </w:p>
    <w:p>
      <w:pPr>
        <w:spacing w:line="276" w:lineRule="auto" w:after="80"/>
        <w:ind w:firstLine="0"/>
      </w:pPr>
      <w:r>
        <w:rPr>
          <w:rFonts w:ascii="Arial" w:hAnsi="Arial"/>
          <w:b w:val="0"/>
          <w:i w:val="0"/>
          <w:color w:val="000000"/>
          <w:sz w:val="22"/>
        </w:rPr>
        <w:t>We applied CKI to TCGA bulk RNA-seq data across five cancer types (LUAD, LUSC, LIHC, KIRC, BRCA) (9,10),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80"/>
        <w:ind w:firstLine="0"/>
      </w:pPr>
      <w:r>
        <w:rPr>
          <w:rFonts w:ascii="Arial" w:hAnsi="Arial"/>
          <w:b w:val="0"/>
          <w:i w:val="0"/>
          <w:color w:val="000000"/>
          <w:sz w:val="22"/>
        </w:rPr>
        <w:t>The TCGA analysis is inherently exploratory because bulk RNA-seq cannot distinguish genuine transcriptional convergence of tumor cells from at least three alternative explanations: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With these caveats, a notable observation, at bulk RNA-seq resolution, was that tumors appeared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(22): G1 (101.8 ± 46.8, n = 39) &gt; G2 (100.2 ± 63.9, n = 133) &gt; G3 (96.8 ± 58.2, n = 105) &gt; G4 (90.0 ± 57.8, n = 11; Jonckheere-Terpstra trend test, P &lt; 0.001). In breast cancer, PAM50 subtype analysis (20,21)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8"/>
          <w:b/>
        </w:rPr>
        <w:t>CKI ranks cell types by cross-organ conservation</w:t>
      </w:r>
    </w:p>
    <w:p>
      <w:pPr>
        <w:spacing w:before="420" w:after="160"/>
      </w:pPr>
      <w:r>
        <w:rPr>
          <w:rFonts w:ascii="Arial" w:hAnsi="Arial"/>
          <w:b/>
          <w:sz w:val="22"/>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60"/>
      </w:pPr>
    </w:p>
    <w:p>
      <w:pPr>
        <w:spacing w:line="276" w:lineRule="auto" w:after="8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8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(24).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8"/>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(11),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well-defined, transcriptionally coherent cell classes suitable for same-cell-type cross-region comparison, and computed CKI ω for all same-cell-type cross-region comparisons (31,764 pairs total) (Fig. 6).</w:t>
      </w:r>
    </w:p>
    <w:p>
      <w:pPr>
        <w:spacing w:line="276" w:lineRule="auto" w:after="8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8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420" w:after="160"/>
      </w:pPr>
      <w:r>
        <w:rPr>
          <w:rFonts w:ascii="Arial" w:hAnsi="Arial"/>
          <w:color w:val="000000"/>
          <w:sz w:val="28"/>
          <w:b/>
        </w:rPr>
        <w:t>CKI correlates with developmental origin signatures across brain regions</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These mechanisms are not mutually exclusive; a given cell-type/region-pair signal may involve overlapping processes (e.g., developmental origin and compartmentalized specification jointly shaping astrocyte thalamic signatures). Mechanism assignment uses the multiplicative residual model to flag anomalous cell-type/region-pair combinations, with the biological interpretation corroborated by the known developmental biology of each cell type.</w:t>
      </w:r>
    </w:p>
    <w:p>
      <w:pPr>
        <w:spacing w:line="276" w:lineRule="auto" w:after="8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80"/>
        <w:ind w:firstLine="0"/>
      </w:pPr>
      <w:r>
        <w:rPr>
          <w:rFonts w:ascii="Arial" w:hAnsi="Arial"/>
          <w:b w:val="0"/>
          <w:i w:val="0"/>
          <w:color w:val="000000"/>
          <w:sz w:val="22"/>
        </w:rPr>
        <w:t>Among 31,764 cross-region comparisons, threshold criteria (residual &lt; 0.3, ω &lt; 15) identified 30 (0.09%) threshold-passing candidates: Astrocyte (6), oligodendrocyte (10), microglia (10), fibroblast (1), and vascular cells (3). Another 1,247 pairs (3.93%) were Moderate candidates, and 6,567 (20.67%) were Weak candidates. Permutation testing (B = 10,000) revealed that 16 of these 30 candidates reached the permutation P-value floor (P = 9.99 × 10⁻⁵): all 6 astrocyte and all 10 oligodendrocyte signals. We designate these 16 as Strong signals and describe them in detail below. The remaining 14 threshold-passing candidates (10 microglia, 1 fibroblast, 3 vascular) showed no evidence of deviation from the multiplicative null model (all P ≥ 0.76); their biological interpretation is deferred to the Discussion. Given the large number of tests (m = 31,764) and P-value floor saturation (36.3% of signals at P = 9.99 × 10⁻⁵), formal FDR correction is not applicable; the 16 floor-reaching signals are interpreted as descriptive evidence rather than FDR-controlled discoveries.</w:t>
      </w:r>
    </w:p>
    <w:p>
      <w:pPr>
        <w:pStyle w:val="Heading3"/>
        <w:spacing w:before="420" w:after="160"/>
      </w:pPr>
      <w:r>
        <w:rPr>
          <w:rFonts w:ascii="Arial" w:hAnsi="Arial"/>
          <w:color w:val="000000"/>
          <w:sz w:val="24"/>
          <w:b/>
        </w:rPr>
        <w:t>OPCs: internal consistency check</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(25,26). Yet CKI detected 0 Strong signals among 5,671 OPC cross-region comparisons—a finding that provides a useful internal consistency check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(27).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420" w:after="160"/>
      </w:pPr>
      <w:r>
        <w:rPr>
          <w:rFonts w:ascii="Arial" w:hAnsi="Arial"/>
          <w:color w:val="000000"/>
          <w:sz w:val="24"/>
          <w:b/>
        </w:rPr>
        <w:t>Oligodendrocytes: developmental origin rather than migration</w:t>
      </w:r>
    </w:p>
    <w:p>
      <w:pPr>
        <w:spacing w:line="276" w:lineRule="auto" w:after="8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(27)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detect the transcriptional boundary between dorsal and ventral oligodendrocyte populations without requiring lineage tracing.</w:t>
      </w:r>
    </w:p>
    <w:p>
      <w:pPr>
        <w:pStyle w:val="Heading3"/>
        <w:spacing w:before="420" w:after="160"/>
      </w:pPr>
      <w:r>
        <w:rPr>
          <w:rFonts w:ascii="Arial" w:hAnsi="Arial"/>
          <w:color w:val="000000"/>
          <w:sz w:val="24"/>
          <w:b/>
        </w:rPr>
        <w:t>Astrocytes: regional specialization with developmental origins</w:t>
      </w:r>
    </w:p>
    <w:p>
      <w:pPr>
        <w:spacing w:line="276" w:lineRule="auto" w:after="8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(28). Endo et al. (29)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420" w:after="160"/>
      </w:pPr>
      <w:r>
        <w:rPr>
          <w:rFonts w:ascii="Arial" w:hAnsi="Arial"/>
          <w:color w:val="000000"/>
          <w:sz w:val="24"/>
          <w:b/>
        </w:rPr>
        <w:t>Bergmann glia: cerebellar molecular topography</w:t>
      </w:r>
    </w:p>
    <w:p>
      <w:pPr>
        <w:spacing w:line="276" w:lineRule="auto" w:after="80"/>
        <w:ind w:firstLine="0"/>
      </w:pPr>
      <w:r>
        <w:rPr>
          <w:rFonts w:ascii="Arial" w:hAnsi="Arial"/>
          <w:b w:val="0"/>
          <w:i w:val="0"/>
          <w:color w:val="000000"/>
          <w:sz w:val="22"/>
        </w:rPr>
        <w:t>Bergmann glia had the lowest global ω (2.37) and no Strong signals, consistent with their developmentally fixed, transcriptionally constrained state in the adult cerebellum (30). Bergmann glia are patterned into topographic molecular zones that align with cerebellar functional compartments (28), and their low global ω reflects their specialized role in maintaining Purkinje cell layer architecture with minimal regional transcriptional variation. The astrocyte CBL (cerebellar lobule) vs. CBV (cerebellar vermis) Strong signal reflects the established molecular topography difference across cerebellar compartments, rather than any migratory event.</w:t>
      </w:r>
    </w:p>
    <w:p>
      <w:pPr>
        <w:pStyle w:val="Heading3"/>
        <w:spacing w:before="420" w:after="160"/>
      </w:pPr>
      <w:r>
        <w:rPr>
          <w:rFonts w:ascii="Arial" w:hAnsi="Arial"/>
          <w:color w:val="000000"/>
          <w:sz w:val="24"/>
          <w:b/>
        </w:rPr>
        <w:t>Threshold-passing but non-significant signals</w:t>
      </w:r>
    </w:p>
    <w:p>
      <w:pPr>
        <w:spacing w:line="276" w:lineRule="auto" w:after="80"/>
        <w:ind w:firstLine="0"/>
      </w:pPr>
      <w:r>
        <w:rPr>
          <w:rFonts w:ascii="Arial" w:hAnsi="Arial"/>
          <w:b w:val="0"/>
          <w:i w:val="0"/>
          <w:color w:val="000000"/>
          <w:sz w:val="22"/>
        </w:rPr>
        <w:t>Microglia (10), fibroblast (1), and vascular cells (3) produced threshold-passing Strong candidate signals (residual &lt; 0.3, ω &lt; 15), but none reached statistical significance in permutation testing (all P ≥ 0.76). These 14 signals are likely dominated by stochastic variation in the high-dimensional ω landscape and should not be interpreted as evidence of biological structure. We discuss the theoretical biological context for each cell type in the Discussion, while emphasizing that none of these signals constitute statistically supported findings.</w:t>
      </w:r>
    </w:p>
    <w:p>
      <w:pPr>
        <w:pStyle w:val="Heading1"/>
        <w:spacing w:before="420" w:after="160"/>
      </w:pPr>
      <w:r>
        <w:rPr>
          <w:rFonts w:ascii="Arial" w:hAnsi="Arial"/>
          <w:color w:val="000000"/>
          <w:sz w:val="32"/>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[4.12, 9.33]),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substantially higher raw ω values in TCGA compared to single-cell datasets (e.g., BRCA Luminal A ω ≈ 344.5 vs. brain global ω = 8.01) likely reflect bulk RNA-seq averaging effects: pseudobulk averaging across millions of cells compresses HK gene variance, driving k_n toward its floor: in all 5 cancer types, the aggregate tumor-versus-normal k_n reached the floor value of 1 × 10⁻⁴, compared to mean k_n of 0.048–0.073 in single-cell datasets where single-cell resolution preserves intercellular HK gene variance. Meanwhile, tumor-specific DE gene differences are preserved (maintaining high k_f), resulting in inflated ω.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identified 30 threshold-passing candidates by predefined criteria; permutation testing (B = 10,000) confirmed that 16 of these reached the permutation P-value floor (P = 9.99 × 10⁻⁵), providing strong evidence of deviation from the multiplicative null model. The 16 Strong signals were exclusively from astrocytes (6/6) and oligodendrocytes (10/10), both reflecting developmental origin signatures: oligodendrocyte dorsal/ventral origin differences (27) explain all 10 oligodendrocyte Strong signals as cortex vs. thalamus/brainstem boundaries, while compartmentalized astrogenesis (29) explains the astrocyte thalamic and cerebellar signals. In contrast, the 14 remaining threshold-passing candidates—10 microglia, 1 fibroblast, and 3 vascular—did not reach statistical significance (all P ≥ 0.76), suggesting they may reflect stochastic variation rather than robust biological patterns. Importantly, OPCs—the most actively migrating cells in the adult CNS (25,26)—yielded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(13)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Seventeenth, the empirical calibration factor (ω_cal = ω / 6.67, 95% bootstrap CI [4.12, 9.33]) was derived from mouse split-half controls using a global HVG set for k_f, but is applied to human, TCGA, and brain analyses that use per-pair DE gene selection for k_f. The two schemes select different gene sets: global HVGs capture genes with high cross-cell variance across the entire dataset, while per-pair DE genes capture the top-200 genes with the largest expression difference between the specific pair under comparison. The per-pair scheme produces a more targeted (and potentially larger) k_f than the global scheme, so the mouse-derived calibration factor likely underestimates the true baseline inflation in the per-pair setting. However, the bootstrap CI [4.12, 9.33] quantifies the uncertainty of the baseline estimate: applying the lower bound (ω / 4.12) would shift ω_cal upward by a factor of 1.62, while the upper bound (ω / 9.33) would shift it downward by a factor of 0.71. All CKI conclusions—which rely on rank-based interpretation (ω gradients across cell types, Spearman correlations with external metrics, and permutation-based significance) rather than absolute ω_cal thresholds—are robust to this range. Cross-scheme transferability should ideally be verified through dedicated split-half calibration experiments using the per-pair DE scheme in each dataset; we provide the necessary code in the CKI package (calibrate_omega function) for users to perform such validation on their own data.</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32"/>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(38). TCGA data: NCI Genomic Data Commons (https://portal.gdc.cancer.gov/). HRT Atlas (optional human/mouse HK reference): https://www.housekeeping.unicamp.br. Human brain atlas: CZ CELLxGENE Discover (collection ID as referenced in (11)). PAM50 centroids: from Parker et al. (20). MSigDB Hallmark gene sets: from Liberzon et al. (39).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All analysis notebooks and processed data matrices are included in the Supplementary Data.</w:t>
      </w:r>
    </w:p>
    <w:p>
      <w:pPr>
        <w:pStyle w:val="Heading1"/>
        <w:spacing w:before="420" w:after="160"/>
      </w:pPr>
      <w:r>
        <w:rPr>
          <w:rFonts w:ascii="Arial" w:hAnsi="Arial"/>
          <w:color w:val="000000"/>
          <w:sz w:val="32"/>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32"/>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32"/>
          <w:b/>
        </w:rPr>
        <w:t>Author contributions</w:t>
      </w:r>
    </w:p>
    <w:p>
      <w:pPr>
        <w:spacing w:line="276" w:lineRule="auto" w:after="8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420" w:after="160"/>
      </w:pPr>
      <w:r>
        <w:rPr>
          <w:rFonts w:ascii="Arial" w:hAnsi="Arial"/>
          <w:color w:val="000000"/>
          <w:sz w:val="32"/>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32"/>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32"/>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8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420" w:after="160"/>
      </w:pPr>
      <w:r>
        <w:rPr>
          <w:rFonts w:ascii="Arial" w:hAnsi="Arial"/>
          <w:color w:val="000000"/>
          <w:sz w:val="32"/>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8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32"/>
          <w:b/>
        </w:rPr>
        <w:t>References</w:t>
      </w:r>
    </w:p>
    <w:p>
      <w:pPr>
        <w:spacing w:line="276" w:lineRule="auto" w:after="60"/>
      </w:pPr>
      <w:r>
        <w:rPr>
          <w:rFonts w:ascii="Arial" w:hAnsi="Arial"/>
          <w:color w:val="000000"/>
          <w:sz w:val="44"/>
        </w:rPr>
        <w:t>Regev,A., Teichmann,S.A., Lander,E.S., Amit,I., Benoist,C., Birney,E., Bodenmiller,B., Campbell,P., Carninci,P., Clatworthy,M. et al. (2017) The Human Cell Atlas. *eLife*, **6**, e27041.</w:t>
      </w:r>
    </w:p>
    <w:p>
      <w:pPr>
        <w:spacing w:line="276" w:lineRule="auto" w:after="60"/>
      </w:pPr>
      <w:r>
        <w:rPr>
          <w:rFonts w:ascii="Arial" w:hAnsi="Arial"/>
          <w:color w:val="000000"/>
          <w:sz w:val="44"/>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44"/>
        </w:rPr>
        <w:t>Lopez,R., Regier,J., Cole,M.B., Jordan,M.I. and Yosef,N. (2018) Deep generative modeling for single-cell transcriptomics. *Nat. Methods*, **15**, 1053–1058.</w:t>
      </w:r>
    </w:p>
    <w:p>
      <w:pPr>
        <w:spacing w:line="276" w:lineRule="auto" w:after="60"/>
      </w:pPr>
      <w:r>
        <w:rPr>
          <w:rFonts w:ascii="Arial" w:hAnsi="Arial"/>
          <w:color w:val="000000"/>
          <w:sz w:val="44"/>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44"/>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44"/>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44"/>
        </w:rPr>
        <w:t>Tabula Muris Consortium (2018) Single-cell transcriptomics of 20 mouse organs creates a Tabula Muris. *Nature*, **562**, 367–372.</w:t>
      </w:r>
    </w:p>
    <w:p>
      <w:pPr>
        <w:spacing w:line="276" w:lineRule="auto" w:after="60"/>
      </w:pPr>
      <w:r>
        <w:rPr>
          <w:rFonts w:ascii="Arial" w:hAnsi="Arial"/>
          <w:color w:val="000000"/>
          <w:sz w:val="44"/>
        </w:rPr>
        <w:t>Tabula Sapiens Consortium (2022) The Tabula Sapiens: a multiple-organ, single-cell transcriptomic atlas of humans. *Science*, **376**, eabl4896.</w:t>
      </w:r>
    </w:p>
    <w:p>
      <w:pPr>
        <w:spacing w:line="276" w:lineRule="auto" w:after="60"/>
      </w:pPr>
      <w:r>
        <w:rPr>
          <w:rFonts w:ascii="Arial" w:hAnsi="Arial"/>
          <w:color w:val="000000"/>
          <w:sz w:val="44"/>
        </w:rPr>
        <w:t>Cancer Genome Atlas Research Network (2014) Comprehensive molecular profiling of lung adenocarcinoma. *Nature*, **511**, 543–550.</w:t>
      </w:r>
    </w:p>
    <w:p>
      <w:pPr>
        <w:spacing w:line="276" w:lineRule="auto" w:after="60"/>
      </w:pPr>
      <w:r>
        <w:rPr>
          <w:rFonts w:ascii="Arial" w:hAnsi="Arial"/>
          <w:color w:val="000000"/>
          <w:sz w:val="44"/>
        </w:rPr>
        <w:t>Cancer Genome Atlas Network (2012) Comprehensive molecular portraits of human breast tumours. *Nature*, **490**, 61–70.</w:t>
      </w:r>
    </w:p>
    <w:p>
      <w:pPr>
        <w:spacing w:line="276" w:lineRule="auto" w:after="60"/>
      </w:pPr>
      <w:r>
        <w:rPr>
          <w:rFonts w:ascii="Arial" w:hAnsi="Arial"/>
          <w:color w:val="000000"/>
          <w:sz w:val="44"/>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44"/>
        </w:rPr>
        <w:t>Luecken,M.D. and Theis,F.J. (2019) Current best practices in single-cell RNA-seq analysis: a tutorial. *Mol. Syst. Biol.*, **15**, e8746.</w:t>
      </w:r>
    </w:p>
    <w:p>
      <w:pPr>
        <w:spacing w:line="276" w:lineRule="auto" w:after="60"/>
      </w:pPr>
      <w:r>
        <w:rPr>
          <w:rFonts w:ascii="Arial" w:hAnsi="Arial"/>
          <w:color w:val="000000"/>
          <w:sz w:val="44"/>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44"/>
        </w:rPr>
        <w:t>Wolf,F.A., Angerer,P. and Theis,F.J. (2018) SCANPY: large-scale single-cell gene expression data analysis. *Genome Biol.*, **19**, 15.</w:t>
      </w:r>
    </w:p>
    <w:p>
      <w:pPr>
        <w:spacing w:line="276" w:lineRule="auto" w:after="60"/>
      </w:pPr>
      <w:r>
        <w:rPr>
          <w:rFonts w:ascii="Arial" w:hAnsi="Arial"/>
          <w:color w:val="000000"/>
          <w:sz w:val="44"/>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44"/>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44"/>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44"/>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44"/>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44"/>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44"/>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44"/>
        </w:rPr>
        <w:t>Edmondson,H.A. and Steiner,P.E. (1954) Primary carcinoma of the liver: a study of 100 cases among 48,900 necropsies. *Cancer*, **7**, 462–503.</w:t>
      </w:r>
    </w:p>
    <w:p>
      <w:pPr>
        <w:spacing w:line="276" w:lineRule="auto" w:after="60"/>
      </w:pPr>
      <w:r>
        <w:rPr>
          <w:rFonts w:ascii="Arial" w:hAnsi="Arial"/>
          <w:color w:val="000000"/>
          <w:sz w:val="44"/>
        </w:rPr>
        <w:t>Storey,J.D. and Tibshirani,R. (2003) Statistical significance for genomewide studies. *Proc. Natl. Acad. Sci. USA*, **100**, 9440–9445.</w:t>
      </w:r>
    </w:p>
    <w:p>
      <w:pPr>
        <w:spacing w:line="276" w:lineRule="auto" w:after="60"/>
      </w:pPr>
      <w:r>
        <w:rPr>
          <w:rFonts w:ascii="Arial" w:hAnsi="Arial"/>
          <w:color w:val="000000"/>
          <w:sz w:val="44"/>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44"/>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44"/>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44"/>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44"/>
        </w:rPr>
        <w:t>Reeber,S.L., Arancillo,M. and Sillitoe,R.V. (2015) Bergmann glia are patterned into topographic molecular zones in the cerebellum. *Cerebellum*, **14**, 392–403.</w:t>
      </w:r>
    </w:p>
    <w:p>
      <w:pPr>
        <w:spacing w:line="276" w:lineRule="auto" w:after="60"/>
      </w:pPr>
      <w:r>
        <w:rPr>
          <w:rFonts w:ascii="Arial" w:hAnsi="Arial"/>
          <w:color w:val="000000"/>
          <w:sz w:val="44"/>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44"/>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44"/>
        </w:rPr>
        <w:t>Shemer,A. and Jung,S. (2024) The molecular determinants of microglial developmental colonization. *Nat. Rev. Neurosci.*, **25**, 414–427.</w:t>
      </w:r>
    </w:p>
    <w:p>
      <w:pPr>
        <w:spacing w:line="276" w:lineRule="auto" w:after="60"/>
      </w:pPr>
      <w:r>
        <w:rPr>
          <w:rFonts w:ascii="Arial" w:hAnsi="Arial"/>
          <w:color w:val="000000"/>
          <w:sz w:val="44"/>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44"/>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44"/>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44"/>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44"/>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44"/>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44"/>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44"/>
        </w:rPr>
        <w:t>Liberzon,A., Birger,C., Thorvaldsdóttir,H., Ghandi,M., Mesirov,J.P. and Tamayo,P. (2015) The Molecular Signatures Database Hallmark Gene Set Collection. *Cell Syst.*, **1**, 417–425.</w:t>
      </w:r>
    </w:p>
    <w:p>
      <w:pPr>
        <w:spacing w:line="276" w:lineRule="auto" w:after="60"/>
      </w:pPr>
      <w:r>
        <w:rPr>
          <w:rFonts w:ascii="Arial" w:hAnsi="Arial"/>
          <w:color w:val="000000"/>
          <w:sz w:val="44"/>
        </w:rPr>
        <w:t>Yang,Z. (2007) PAML 4: phylogenetic analysis by maximum likelihood. *Mol. Biol. Evol.*, **24**, 1586–1591.</w:t>
      </w:r>
    </w:p>
    <w:p>
      <w:pPr>
        <w:spacing w:line="276" w:lineRule="auto" w:after="60"/>
      </w:pPr>
      <w:r>
        <w:rPr>
          <w:rFonts w:ascii="Arial" w:hAnsi="Arial"/>
          <w:color w:val="000000"/>
          <w:sz w:val="44"/>
        </w:rPr>
        <w:t>Tan,Y.L., Yuan,Y. and Tian,L. (2020) Microglial regional heterogeneity and its role in the brain. *Mol. Psychiatry*, **25**, 351–367.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