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
        </w:rPr>
        <w:t>CKI: A Cell-state Kinetic Index for Quantifying Baseline-Normalized Transcriptomic Remodeling</w:t>
      </w:r>
    </w:p>
    <w:p>
      <w:pPr>
        <w:jc w:val="center"/>
      </w:pPr>
      <w:r>
        <w:rPr>
          <w:rFonts w:ascii="Arial" w:hAnsi="Arial"/>
          <w:color w:val="000000"/>
          <w:sz w:val="44"/>
        </w:rPr>
        <w:t>Running title: CKI: Baseline-Normalized Divergence Index</w:t>
      </w:r>
    </w:p>
    <w:p>
      <w:pPr>
        <w:jc w:val="center"/>
      </w:pPr>
      <w:r>
        <w:rPr>
          <w:rFonts w:ascii="Arial" w:hAnsi="Arial"/>
          <w:color w:val="000000"/>
          <w:sz w:val="42"/>
        </w:rPr>
        <w:t>Xianming Wu</w:t>
      </w:r>
      <w:r>
        <w:rPr>
          <w:rFonts w:ascii="Arial" w:hAnsi="Arial"/>
          <w:color w:val="000000"/>
          <w:sz w:val="22"/>
          <w:vertAlign w:val="superscript"/>
        </w:rPr>
        <w:t>1</w:t>
      </w:r>
      <w:r>
        <w:t xml:space="preserve">, </w:t>
      </w:r>
      <w:r>
        <w:rPr>
          <w:rFonts w:ascii="Arial" w:hAnsi="Arial"/>
          <w:color w:val="000000"/>
          <w:sz w:val="42"/>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44"/>
          <w:vertAlign w:val="superscript"/>
        </w:rPr>
        <w:t>1</w:t>
      </w:r>
      <w:r>
        <w:rPr>
          <w:rFonts w:ascii="Arial" w:hAnsi="Arial"/>
          <w:color w:val="000000"/>
          <w:sz w:val="44"/>
        </w:rPr>
        <w:t>Chinese Institute for Brain Research, Beijing, China</w:t>
      </w:r>
    </w:p>
    <w:p>
      <w:pPr>
        <w:jc w:val="center"/>
      </w:pPr>
      <w:r>
        <w:rPr>
          <w:rFonts w:ascii="Arial" w:hAnsi="Arial"/>
          <w:color w:val="000000"/>
          <w:sz w:val="44"/>
          <w:vertAlign w:val="superscript"/>
        </w:rPr>
        <w:t>2</w:t>
      </w:r>
      <w:r>
        <w:rPr>
          <w:rFonts w:ascii="Arial" w:hAnsi="Arial"/>
          <w:color w:val="000000"/>
          <w:sz w:val="44"/>
        </w:rPr>
        <w:t>Institute of Blood Transfusion, Chinese Academy of Medical Sciences &amp; Peking Union Medical College, Chengdu, China</w:t>
      </w:r>
    </w:p>
    <w:p>
      <w:pPr>
        <w:jc w:val="center"/>
      </w:pPr>
      <w:r>
        <w:rPr>
          <w:rFonts w:ascii="Arial" w:hAnsi="Arial"/>
          <w:color w:val="000000"/>
          <w:sz w:val="44"/>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32"/>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32"/>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from millions of cells. Calibration confirmed an empirical baseline for equivalent populations (mean ω = 6.67, 95% bootstrap CI [4.12, 9.33], all P &gt; 0.05), inflated above theoretical unity by highly variable gene selection. CKI ω was negatively correlated with all standard distance metrics (Spearman r = −0.38 to −0.57, all P &lt; 0.001), indicating it captures an independent information dimension. Cancer analysis revealed transcriptional convergence across genetically diverse tumors. Brain analysis identified 30 cell-type developmental signatures spanning four biological mechanisms (two statistically significant) among 31,764 comparisons. CKI provides a principled framework for quantifying functional divergence against an internal baseline, available as an open-source Python package.</w:t>
      </w:r>
    </w:p>
    <w:p>
      <w:pPr>
        <w:jc w:val="center"/>
      </w:pPr>
      <w:r>
        <w:rPr>
          <w:rFonts w:ascii="Arial" w:hAnsi="Arial"/>
          <w:color w:val="000000"/>
          <w:sz w:val="44"/>
        </w:rPr>
        <w:t>Keywords: cell-state divergence, housekeeping genes, Jensen-Shannon decomposition, transcriptomic remodeling, single-cell genomics</w:t>
      </w:r>
    </w:p>
    <w:p>
      <w:pPr>
        <w:pStyle w:val="Heading1"/>
        <w:spacing w:before="420" w:after="160"/>
      </w:pPr>
      <w:r>
        <w:rPr>
          <w:rFonts w:ascii="Arial" w:hAnsi="Arial"/>
          <w:color w:val="000000"/>
          <w:sz w:val="32"/>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95% bootstrap CI [4.12, 9.33]).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cell types differ across brain regions and demonstrating that CKI can detect persistent developmental signatures—including developmental origin heterogeneity and compartmentalized developmental specification (both statistically significant), as well as colonization route boundaries and a postnatal migration event (exploratory, not statistically significant)—from adult transcriptomic data.</w:t>
      </w:r>
    </w:p>
    <w:p>
      <w:pPr>
        <w:pStyle w:val="Heading1"/>
        <w:spacing w:before="420" w:after="160"/>
      </w:pPr>
      <w:r>
        <w:rPr>
          <w:rFonts w:ascii="Arial" w:hAnsi="Arial"/>
          <w:color w:val="000000"/>
          <w:sz w:val="32"/>
          <w:b/>
        </w:rPr>
        <w:t>Materials and Methods</w:t>
      </w:r>
    </w:p>
    <w:p>
      <w:pPr>
        <w:pStyle w:val="Heading2"/>
        <w:spacing w:before="420" w:after="160"/>
      </w:pPr>
      <w:r>
        <w:rPr>
          <w:rFonts w:ascii="Arial" w:hAnsi="Arial"/>
          <w:color w:val="000000"/>
          <w:sz w:val="28"/>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(42) uses the base-2 logarithm (range [0, 1]).</w:t>
      </w:r>
    </w:p>
    <w:p>
      <w:pPr>
        <w:pStyle w:val="Heading2"/>
        <w:spacing w:before="420" w:after="160"/>
      </w:pPr>
      <w:r>
        <w:rPr>
          <w:rFonts w:ascii="Arial" w:hAnsi="Arial"/>
          <w:color w:val="000000"/>
          <w:sz w:val="28"/>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8"/>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reported as a descriptive measure of separation magnitude. Given the non-normal ω distribution, SES is interpreted as a non-parametric descriptive statistic complementing the permutation P-value, not as a parametric test statistic such as Cohen’s d.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8"/>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(v3.11) from CZ CELLxGENE Discover (collection ID: 283d65eb-2f53-46e9-a951-0da342e3d1f2).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(10,932), fibroblasts (10,156), ependymal cells (7,882), choroid plexus (9,689),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8"/>
          <w:b/>
        </w:rPr>
        <w:t>Method comparison</w:t>
      </w:r>
    </w:p>
    <w:p>
      <w:pPr>
        <w:spacing w:line="276" w:lineRule="auto" w:after="8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8"/>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420" w:after="160"/>
      </w:pPr>
      <w:r>
        <w:rPr>
          <w:rFonts w:ascii="Arial" w:hAnsi="Arial"/>
          <w:color w:val="000000"/>
          <w:sz w:val="28"/>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8"/>
          <w:b/>
        </w:rPr>
        <w:t>Computational environment</w:t>
      </w:r>
    </w:p>
    <w:p>
      <w:pPr>
        <w:spacing w:line="276" w:lineRule="auto" w:after="80"/>
        <w:ind w:firstLine="0"/>
      </w:pPr>
      <w:r>
        <w:rPr>
          <w:rFonts w:ascii="Arial" w:hAnsi="Arial"/>
          <w:b w:val="0"/>
          <w:i w:val="0"/>
          <w:color w:val="000000"/>
          <w:sz w:val="22"/>
        </w:rPr>
        <w:t>Typical runtime for a single cell-type pair analysis is under 5 minutes on a standard laptop (Apple M2, 16 GB RAM); the full brain analysis (31,764 pairs) required approximately 72 core-hours on a 32-core workstation. All analyses were performed in Python 3.13.12 with scanpy &gt;= 1.9.0 (14), scipy &gt;= 1.10.0, numpy &gt;= 1.23.0, pandas &gt;= 1.5.0, matplotlib &gt;= 3.6.0, seaborn (46) &gt;= 0.12.0, and scikit-learn (45) &gt;= 1.2.0. All random seeds were fixed at 42 for reproducibility. Bootstrap permutation results are stable with respect to the random seed choice: with B = 1,000 permutations, the Monte Carlo standard error of the empirical P-value is approximately 0.016 at P = 0.5 and 0.001 at P = 0.001, meaning seed variation has negligible impact on statistical conclusions.</w:t>
      </w:r>
    </w:p>
    <w:p>
      <w:pPr>
        <w:pStyle w:val="Heading2"/>
        <w:spacing w:before="420" w:after="160"/>
      </w:pPr>
      <w:r>
        <w:rPr>
          <w:rFonts w:ascii="Arial" w:hAnsi="Arial"/>
          <w:color w:val="000000"/>
          <w:sz w:val="28"/>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(43)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non-parametric descriptive statistic complementing the permutation P-value, not as a parametric test statistic such as Cohen’s d. The calibration experiment using split-half equivalent populations (n = 6 random splits of the same tissue) yielded a mean ω = 6.67 (95% bootstrap CI [4.12, 9.33], B = 10,000 resamples of the 6 control ω values),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32"/>
          <w:b/>
        </w:rPr>
        <w:t>Results</w:t>
      </w:r>
    </w:p>
    <w:p>
      <w:pPr>
        <w:pStyle w:val="Heading2"/>
        <w:spacing w:before="420" w:after="160"/>
      </w:pPr>
      <w:r>
        <w:rPr>
          <w:rFonts w:ascii="Arial" w:hAnsi="Arial"/>
          <w:color w:val="000000"/>
          <w:sz w:val="28"/>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as a non-parametric descriptive statistic complementary to the permutation P-value.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8"/>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60%),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~60%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420" w:after="160"/>
      </w:pPr>
      <w:r>
        <w:rPr>
          <w:rFonts w:ascii="Arial" w:hAnsi="Arial"/>
          <w:color w:val="000000"/>
          <w:sz w:val="28"/>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0.716, ranked 4th of 5 methods, above Spearman distance at AUC = 0.690 but below cosine distance at AUC = 0.887; Table 1). This moderate ranking is expected by design: CKI down-weights shared HK gene patterns to isolate functional divergence, trading some ability to detect global transcriptional identity for enhanced sensitivity to functional specialization. The AUC rank therefore validates that CKI captures a distinct signal rather than being a better general-purpose classifier.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8"/>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80"/>
        <w:ind w:firstLine="0"/>
      </w:pPr>
      <w:r>
        <w:rPr>
          <w:rFonts w:ascii="Arial" w:hAnsi="Arial"/>
          <w:b w:val="0"/>
          <w:i w:val="0"/>
          <w:color w:val="000000"/>
          <w:sz w:val="22"/>
        </w:rPr>
        <w:t>The TCGA analysis is inherently exploratory because bulk RNA-seq cannot distinguish genuine transcriptional convergence of tumor cells from at least three alternative explanations: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With these caveats, a notable observation, at bulk RNA-seq resolution, was that tumors appeared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(101.8 ± 46.8, n = 39) &gt; G2 (100.2 ± 63.9, n = 133) &gt; G3 (96.8 ± 58.2, n = 105) &gt; G4 (90.0 ± 57.8, n = 11; Jonckheere-Terpstra trend test, P &lt; 0.001). In breast cancer, PAM50 subtype analysis (20,21)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8"/>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60"/>
      </w:pPr>
    </w:p>
    <w:p>
      <w:pPr>
        <w:spacing w:line="276" w:lineRule="auto" w:after="8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8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8"/>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Neurons were excluded because the supercluster_term annotation does not resolve the extensive neuronal subtype heterogeneity (glutamatergic, GABAergic, dopaminergic, etc., spanning dozens of transcriptionally distinct populations). Treating neurons as a single cell class would violate the same-cell-type assumption of our cross-region framework, as different brain regions contain fundamentally different neuron subtype compositions. We therefore restricted the analysis to non-neuronal cells, where the supercluster_term annotation provides well-defined, transcriptionally coherent cell classes suitable for same-cell-type cross-region comparison, and computed CKI ω for all same-cell-type cross-region comparisons (31,764 pairs total) (Fig. 6).</w:t>
      </w:r>
    </w:p>
    <w:p>
      <w:pPr>
        <w:spacing w:line="276" w:lineRule="auto" w:after="8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420" w:after="160"/>
      </w:pPr>
      <w:r>
        <w:rPr>
          <w:rFonts w:ascii="Arial" w:hAnsi="Arial"/>
          <w:color w:val="000000"/>
          <w:sz w:val="28"/>
          <w:b/>
        </w:rPr>
        <w:t>CKI correlates with developmental origin signatures across brain regions</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These mechanisms are not mutually exclusive; a given cell-type/region-pair signal may involve overlapping processes (e.g., developmental origin and compartmentalized specification jointly shaping astrocyte thalamic signatures). Mechanism assignment uses the multiplicative residual model to flag anomalous cell-type/region-pair combinations, with the biological interpretation corroborated by the known developmental biology of each cell type.</w:t>
      </w:r>
    </w:p>
    <w:p>
      <w:pPr>
        <w:spacing w:line="276" w:lineRule="auto" w:after="8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80"/>
        <w:ind w:firstLine="0"/>
      </w:pPr>
      <w:r>
        <w:rPr>
          <w:rFonts w:ascii="Arial" w:hAnsi="Arial"/>
          <w:b w:val="0"/>
          <w:i w:val="0"/>
          <w:color w:val="000000"/>
          <w:sz w:val="22"/>
        </w:rPr>
        <w:t>Among 31,764 cross-region comparisons, threshold criteria (residual &lt; 0.3, ω &lt; 15) identified 30 (0.09%) threshold-passing candidates: Astrocyte (6), oligodendrocyte (10), microglia (10), fibroblast (1), and vascular cells (3). Another 1,247 pairs (3.93%) were Moderate candidates, and 6,567 (20.67%) were Weak candidates. Permutation testing (B = 10,000) revealed that 16 of these 30 candidates reached the permutation P-value floor (P = 9.99 × 10⁻⁵): all 6 astrocyte and all 10 oligodendrocyte signals. We designate these 16 as Strong signals and describe them in detail below. The remaining 14 threshold-passing candidates (10 microglia, 1 fibroblast, 3 vascular) showed no evidence of deviation from the multiplicative null model (all P ≥ 0.76); their biological interpretation is deferred to the Discussion. Given the large number of tests (m = 31,764) and P-value floor saturation (36.3% of signals at P = 9.99 × 10⁻⁵), formal FDR correction is not applicable; the 16 floor-reaching signals are interpreted as descriptive evidence rather than FDR-controlled discoveries.</w:t>
      </w:r>
    </w:p>
    <w:p>
      <w:pPr>
        <w:pStyle w:val="Heading3"/>
        <w:spacing w:before="420" w:after="160"/>
      </w:pPr>
      <w:r>
        <w:rPr>
          <w:rFonts w:ascii="Arial" w:hAnsi="Arial"/>
          <w:color w:val="000000"/>
          <w:sz w:val="24"/>
          <w:b/>
        </w:rPr>
        <w:t>OPCs: internal consistency check</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Yet CKI detected 0 Strong signals among 5,671 OPC cross-region comparisons—a finding that provides a useful internal consistency check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(27).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420" w:after="160"/>
      </w:pPr>
      <w:r>
        <w:rPr>
          <w:rFonts w:ascii="Arial" w:hAnsi="Arial"/>
          <w:color w:val="000000"/>
          <w:sz w:val="24"/>
          <w:b/>
        </w:rPr>
        <w:t>Oligodendrocytes: developmental origin rather than migration</w:t>
      </w:r>
    </w:p>
    <w:p>
      <w:pPr>
        <w:spacing w:line="276" w:lineRule="auto" w:after="8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(27)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detect the transcriptional boundary between dorsal and ventral oligodendrocyte populations without requiring lineage tracing.</w:t>
      </w:r>
    </w:p>
    <w:p>
      <w:pPr>
        <w:pStyle w:val="Heading3"/>
        <w:spacing w:before="420" w:after="160"/>
      </w:pPr>
      <w:r>
        <w:rPr>
          <w:rFonts w:ascii="Arial" w:hAnsi="Arial"/>
          <w:color w:val="000000"/>
          <w:sz w:val="24"/>
          <w:b/>
        </w:rPr>
        <w:t>Astrocytes: regional specialization with developmental origins</w:t>
      </w:r>
    </w:p>
    <w:p>
      <w:pPr>
        <w:spacing w:line="276" w:lineRule="auto" w:after="8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(28). Endo et al. (29)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420" w:after="160"/>
      </w:pPr>
      <w:r>
        <w:rPr>
          <w:rFonts w:ascii="Arial" w:hAnsi="Arial"/>
          <w:color w:val="000000"/>
          <w:sz w:val="24"/>
          <w:b/>
        </w:rPr>
        <w:t>Bergmann glia: cerebellar molecular topography</w:t>
      </w:r>
    </w:p>
    <w:p>
      <w:pPr>
        <w:spacing w:line="276" w:lineRule="auto" w:after="80"/>
        <w:ind w:firstLine="0"/>
      </w:pPr>
      <w:r>
        <w:rPr>
          <w:rFonts w:ascii="Arial" w:hAnsi="Arial"/>
          <w:b w:val="0"/>
          <w:i w:val="0"/>
          <w:color w:val="000000"/>
          <w:sz w:val="22"/>
        </w:rPr>
        <w:t>Bergmann glia had the lowest global ω (2.37) and no Strong signals, consistent with their developmentally fixed, transcriptionally constrained state in the adult cerebellum (30). Bergmann glia are patterned into topographic molecular zones that align with cerebellar functional compartments (28), and their low global ω reflects their specialized role in maintaining Purkinje cell layer architecture with minimal regional transcriptional variation. The astrocyte CBL (cerebellar lobule) vs. CBV (cerebellar vermis) Strong signal reflects the established molecular topography difference across cerebellar compartments, rather than any migratory event.</w:t>
      </w:r>
    </w:p>
    <w:p>
      <w:pPr>
        <w:pStyle w:val="Heading3"/>
        <w:spacing w:before="420" w:after="160"/>
      </w:pPr>
      <w:r>
        <w:rPr>
          <w:rFonts w:ascii="Arial" w:hAnsi="Arial"/>
          <w:color w:val="000000"/>
          <w:sz w:val="24"/>
          <w:b/>
        </w:rPr>
        <w:t>Threshold-passing but non-significant signals</w:t>
      </w:r>
    </w:p>
    <w:p>
      <w:pPr>
        <w:spacing w:line="276" w:lineRule="auto" w:after="80"/>
        <w:ind w:firstLine="0"/>
      </w:pPr>
      <w:r>
        <w:rPr>
          <w:rFonts w:ascii="Arial" w:hAnsi="Arial"/>
          <w:b w:val="0"/>
          <w:i w:val="0"/>
          <w:color w:val="000000"/>
          <w:sz w:val="22"/>
        </w:rPr>
        <w:t>Microglia (10), fibroblast (1), and vascular cells (3) produced threshold-passing Strong candidate signals (residual &lt; 0.3, ω &lt; 15), but none reached statistical significance in permutation testing (all P ≥ 0.76). These 14 signals are likely dominated by stochastic variation in the high-dimensional ω landscape and should not be interpreted as evidence of biological structure. We discuss the theoretical biological context for each cell type in the Discussion, while emphasizing that none of these signals constitute statistically supported findings.</w:t>
      </w:r>
    </w:p>
    <w:p>
      <w:pPr>
        <w:pStyle w:val="Heading1"/>
        <w:spacing w:before="420" w:after="160"/>
      </w:pPr>
      <w:r>
        <w:rPr>
          <w:rFonts w:ascii="Arial" w:hAnsi="Arial"/>
          <w:color w:val="000000"/>
          <w:sz w:val="32"/>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(95% bootstrap CI [4.12, 9.33]),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substantially higher raw ω values in TCGA compared to single-cell datasets (e.g., BRCA Luminal A ω ≈ 344.5 vs. brain global ω = 8.01) likely reflect bulk RNA-seq averaging effects: pseudobulk averaging across millions of cells compresses HK gene variance, driving k_n toward its floor: in all 5 cancer types, the aggregate tumor-versus-normal k_n reached the floor value of 1 × 10⁻⁴, compared to mean k_n of 0.048–0.073 in single-cell datasets where single-cell resolution preserves intercellular HK gene variance. Meanwhile, tumor-specific DE gene differences are preserved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identified 30 threshold-passing candidates by predefined criteria; permutation testing (B = 10,000) confirmed that 16 of these reached the permutation P-value floor (P = 9.99 × 10⁻⁵), providing strong evidence of deviation from the multiplicative null model. The 16 Strong signals were exclusively from astrocytes (6/6) and oligodendrocytes (10/10), both reflecting developmental origin signatures: oligodendrocyte dorsal/ventral origin differences (27) explain all 10 oligodendrocyte Strong signals as cortex vs. thalamus/brainstem boundaries, while compartmentalized astrogenesis (29) explains the astrocyte thalamic and cerebellar signals. In contrast, the 14 remaining threshold-passing candidates—10 microglia, 1 fibroblast, and 3 vascular—did not reach statistical significance (all P ≥ 0.76), suggesting they may reflect stochastic variation rather than robust biological patterns. Importantly, OPCs—the most actively migrating cells in the adult CNS (25,26)—yielded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using shared cell types between mouse and human atlases (44; Supplementary Fig. S2) was limited by the small number of directly comparable cell-type pairs, and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Additionally, housekeeping gene expression may be dysregulated in cancer (47), potentially affecting the k_n baseline; we verified that HK genes detected by the combined criterion overlapped substantially with the reference set, but systematic cancer-specific HK dysregulation could inflate or deflate omega in a disease-specific manner.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Seventeenth, the empirical calibration factor (ω_cal = ω / 6.67, 95% bootstrap CI [4.12, 9.33]) was derived from mouse split-half controls using a global HVG set for k_f, but is applied to human, TCGA, and brain analyses that use per-pair DE gene selection for k_f. The two schemes select different gene sets: global HVGs capture genes with high cross-cell variance across the entire dataset, while per-pair DE genes capture the top-200 genes with the largest expression difference between the specific pair under comparison. The per-pair scheme produces a more targeted (and potentially larger) k_f than the global scheme, so the mouse-derived calibration factor likely underestimates the true baseline inflation in the per-pair setting. However, the bootstrap CI [4.12, 9.33] quantifies the uncertainty of the baseline estimate: applying the lower bound (ω / 4.12) would shift ω_cal upward by a factor of 1.62, while the upper bound (ω / 9.33) would shift it downward by a factor of 0.71. All CKI conclusions—which rely on rank-based interpretation (ω gradients across cell types, Spearman correlations with external metrics, and permutation-based significance) rather than absolute ω_cal thresholds—are robust to this range. Cross-scheme transferability should ideally be verified through dedicated split-half calibration experiments using the per-pair DE scheme in each dataset; we provide the necessary code in the CKI package (calibrate_omega function) for users to perform such validation on their own data.</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32"/>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(38). TCGA data: NCI Genomic Data Commons (https://portal.gdc.cancer.gov/). HRT Atlas (optional human/mouse HK reference): https://www.housekeeping.unicamp.br. Human brain atlas: CZ CELLxGENE Discover (collection ID as referenced in (11), accessed July 2025).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≥3.10 and runs on Linux, macOS, and Windows. A Dockerfile is provided in the repository for containerized reproducibility. All analysis notebooks and processed data matrices are included in the Supplementary Data.</w:t>
      </w:r>
    </w:p>
    <w:p>
      <w:pPr>
        <w:pStyle w:val="Heading1"/>
        <w:spacing w:before="420" w:after="160"/>
      </w:pPr>
      <w:r>
        <w:rPr>
          <w:rFonts w:ascii="Arial" w:hAnsi="Arial"/>
          <w:color w:val="000000"/>
          <w:sz w:val="32"/>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32"/>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32"/>
          <w:b/>
        </w:rPr>
        <w:t>Author contributions</w:t>
      </w:r>
    </w:p>
    <w:p>
      <w:pPr>
        <w:spacing w:line="276" w:lineRule="auto" w:after="8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420" w:after="160"/>
      </w:pPr>
      <w:r>
        <w:rPr>
          <w:rFonts w:ascii="Arial" w:hAnsi="Arial"/>
          <w:color w:val="000000"/>
          <w:sz w:val="32"/>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32"/>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32"/>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32"/>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32"/>
          <w:b/>
        </w:rPr>
        <w:t>References</w:t>
      </w:r>
    </w:p>
    <w:p>
      <w:pPr>
        <w:spacing w:line="276" w:lineRule="auto" w:after="60"/>
      </w:pPr>
      <w:r>
        <w:rPr>
          <w:rFonts w:ascii="Arial" w:hAnsi="Arial"/>
          <w:color w:val="000000"/>
          <w:sz w:val="44"/>
        </w:rPr>
        <w:t>Regev,A., Teichmann,S.A., Lander,E.S., Amit,I., Benoist,C., Birney,E., Bodenmiller,B., Campbell,P., Carninci,P., Clatworthy,M. et al. (2017) The Human Cell Atlas. *eLife*, **6**, e27041.</w:t>
      </w:r>
    </w:p>
    <w:p>
      <w:pPr>
        <w:spacing w:line="276" w:lineRule="auto" w:after="60"/>
      </w:pPr>
      <w:r>
        <w:rPr>
          <w:rFonts w:ascii="Arial" w:hAnsi="Arial"/>
          <w:color w:val="000000"/>
          <w:sz w:val="44"/>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44"/>
        </w:rPr>
        <w:t>Lopez,R., Regier,J., Cole,M.B., Jordan,M.I. and Yosef,N. (2018) Deep generative modeling for single-cell transcriptomics. *Nat. Methods*, **15**, 1053–1058.</w:t>
      </w:r>
    </w:p>
    <w:p>
      <w:pPr>
        <w:spacing w:line="276" w:lineRule="auto" w:after="60"/>
      </w:pPr>
      <w:r>
        <w:rPr>
          <w:rFonts w:ascii="Arial" w:hAnsi="Arial"/>
          <w:color w:val="000000"/>
          <w:sz w:val="44"/>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44"/>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44"/>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44"/>
        </w:rPr>
        <w:t>Tabula Muris Consortium (2018) Single-cell transcriptomics of 20 mouse organs creates a Tabula Muris. *Nature*, **562**, 367–372.</w:t>
      </w:r>
    </w:p>
    <w:p>
      <w:pPr>
        <w:spacing w:line="276" w:lineRule="auto" w:after="60"/>
      </w:pPr>
      <w:r>
        <w:rPr>
          <w:rFonts w:ascii="Arial" w:hAnsi="Arial"/>
          <w:color w:val="000000"/>
          <w:sz w:val="44"/>
        </w:rPr>
        <w:t>Tabula Sapiens Consortium (2022) The Tabula Sapiens: a multiple-organ, single-cell transcriptomic atlas of humans. *Science*, **376**, eabl4896.</w:t>
      </w:r>
    </w:p>
    <w:p>
      <w:pPr>
        <w:spacing w:line="276" w:lineRule="auto" w:after="60"/>
      </w:pPr>
      <w:r>
        <w:rPr>
          <w:rFonts w:ascii="Arial" w:hAnsi="Arial"/>
          <w:color w:val="000000"/>
          <w:sz w:val="44"/>
        </w:rPr>
        <w:t>Cancer Genome Atlas Research Network (2014) Comprehensive molecular profiling of lung adenocarcinoma. *Nature*, **511**, 543–550.</w:t>
      </w:r>
    </w:p>
    <w:p>
      <w:pPr>
        <w:spacing w:line="276" w:lineRule="auto" w:after="60"/>
      </w:pPr>
      <w:r>
        <w:rPr>
          <w:rFonts w:ascii="Arial" w:hAnsi="Arial"/>
          <w:color w:val="000000"/>
          <w:sz w:val="44"/>
        </w:rPr>
        <w:t>Cancer Genome Atlas Network (2012) Comprehensive molecular portraits of human breast tumours. *Nature*, **490**, 61–70.</w:t>
      </w:r>
    </w:p>
    <w:p>
      <w:pPr>
        <w:spacing w:line="276" w:lineRule="auto" w:after="60"/>
      </w:pPr>
      <w:r>
        <w:rPr>
          <w:rFonts w:ascii="Arial" w:hAnsi="Arial"/>
          <w:color w:val="000000"/>
          <w:sz w:val="44"/>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44"/>
        </w:rPr>
        <w:t>Luecken,M.D. and Theis,F.J. (2019) Current best practices in single-cell RNA-seq analysis: a tutorial. *Mol. Syst. Biol.*, **15**, e8746.</w:t>
      </w:r>
    </w:p>
    <w:p>
      <w:pPr>
        <w:spacing w:line="276" w:lineRule="auto" w:after="60"/>
      </w:pPr>
      <w:r>
        <w:rPr>
          <w:rFonts w:ascii="Arial" w:hAnsi="Arial"/>
          <w:color w:val="000000"/>
          <w:sz w:val="44"/>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44"/>
        </w:rPr>
        <w:t>Wolf,F.A., Angerer,P. and Theis,F.J. (2018) SCANPY: large-scale single-cell gene expression data analysis. *Genome Biol.*, **19**, 15.</w:t>
      </w:r>
    </w:p>
    <w:p>
      <w:pPr>
        <w:spacing w:line="276" w:lineRule="auto" w:after="60"/>
      </w:pPr>
      <w:r>
        <w:rPr>
          <w:rFonts w:ascii="Arial" w:hAnsi="Arial"/>
          <w:color w:val="000000"/>
          <w:sz w:val="44"/>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44"/>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44"/>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44"/>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44"/>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44"/>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44"/>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44"/>
        </w:rPr>
        <w:t>Edmondson,H.A. and Steiner,P.E. (1954) Primary carcinoma of the liver: a study of 100 cases among 48,900 necropsies. *Cancer*, **7**, 462–503.</w:t>
      </w:r>
    </w:p>
    <w:p>
      <w:pPr>
        <w:spacing w:line="276" w:lineRule="auto" w:after="60"/>
      </w:pPr>
      <w:r>
        <w:rPr>
          <w:rFonts w:ascii="Arial" w:hAnsi="Arial"/>
          <w:color w:val="000000"/>
          <w:sz w:val="44"/>
        </w:rPr>
        <w:t>Storey,J.D. and Tibshirani,R. (2003) Statistical significance for genomewide studies. *Proc. Natl. Acad. Sci. USA*, **100**, 9440–9445.</w:t>
      </w:r>
    </w:p>
    <w:p>
      <w:pPr>
        <w:spacing w:line="276" w:lineRule="auto" w:after="60"/>
      </w:pPr>
      <w:r>
        <w:rPr>
          <w:rFonts w:ascii="Arial" w:hAnsi="Arial"/>
          <w:color w:val="000000"/>
          <w:sz w:val="44"/>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44"/>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44"/>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44"/>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44"/>
        </w:rPr>
        <w:t>Reeber,S.L., Arancillo,M. and Sillitoe,R.V. (2015) Bergmann glia are patterned into topographic molecular zones in the cerebellum. *Cerebellum*, **14**, 392–403.</w:t>
      </w:r>
    </w:p>
    <w:p>
      <w:pPr>
        <w:spacing w:line="276" w:lineRule="auto" w:after="60"/>
      </w:pPr>
      <w:r>
        <w:rPr>
          <w:rFonts w:ascii="Arial" w:hAnsi="Arial"/>
          <w:color w:val="000000"/>
          <w:sz w:val="44"/>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44"/>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44"/>
        </w:rPr>
        <w:t>Shemer,A. and Jung,S. (2024) The molecular determinants of microglial developmental colonization. *Nat. Rev. Neurosci.*, **25**, 414–427.</w:t>
      </w:r>
    </w:p>
    <w:p>
      <w:pPr>
        <w:spacing w:line="276" w:lineRule="auto" w:after="60"/>
      </w:pPr>
      <w:r>
        <w:rPr>
          <w:rFonts w:ascii="Arial" w:hAnsi="Arial"/>
          <w:color w:val="000000"/>
          <w:sz w:val="44"/>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44"/>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44"/>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44"/>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44"/>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44"/>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44"/>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44"/>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44"/>
        </w:rPr>
        <w:t>Yang,Z. (2007) PAML 4: phylogenetic analysis by maximum likelihood. *Mol. Biol. Evol.*, **24**, 1586–1591.</w:t>
      </w:r>
    </w:p>
    <w:p>
      <w:pPr>
        <w:spacing w:line="276" w:lineRule="auto" w:after="60"/>
      </w:pPr>
      <w:r>
        <w:rPr>
          <w:rFonts w:ascii="Arial" w:hAnsi="Arial"/>
          <w:color w:val="000000"/>
          <w:sz w:val="44"/>
        </w:rPr>
        <w:t>Tan,Y.L., Yuan,Y. and Tian,L. (2020) Microglial regional heterogeneity and its role in the brain. *Mol. Psychiatry*, **25**, 351–367.</w:t>
      </w:r>
    </w:p>
    <w:p>
      <w:pPr>
        <w:spacing w:line="276" w:lineRule="auto" w:after="60"/>
      </w:pPr>
      <w:r>
        <w:rPr>
          <w:rFonts w:ascii="Arial" w:hAnsi="Arial"/>
          <w:color w:val="000000"/>
          <w:sz w:val="44"/>
        </w:rPr>
        <w:t>Lin,J. (1991) Divergence measures based on the Shannon entropy. *IEEE Trans. Inf. Theory*, **37**, 145–151.</w:t>
      </w:r>
    </w:p>
    <w:p>
      <w:pPr>
        <w:spacing w:line="276" w:lineRule="auto" w:after="60"/>
      </w:pPr>
      <w:r>
        <w:rPr>
          <w:rFonts w:ascii="Arial" w:hAnsi="Arial"/>
          <w:color w:val="000000"/>
          <w:sz w:val="44"/>
        </w:rPr>
        <w:t>Efron,B. and Tibshirani,R.J. (1994) An Introduction to the Bootstrap. Chapman and Hall/CRC, New York.</w:t>
      </w:r>
    </w:p>
    <w:p>
      <w:pPr>
        <w:spacing w:line="276" w:lineRule="auto" w:after="60"/>
      </w:pPr>
      <w:r>
        <w:rPr>
          <w:rFonts w:ascii="Arial" w:hAnsi="Arial"/>
          <w:color w:val="000000"/>
          <w:sz w:val="44"/>
        </w:rPr>
        <w:t>Bakken,T.E., Jorstad,N.L., Hu,Q., Lake,B.B., Tian,W., Kalmbach,B.E., Crow,M., Hodge,R.D., Krienen,F.M., Sorensen,S.A. et al. (2021) Comparative cellular analysis of motor cortex in human, marmoset and mouse. *Nature*, **598**, 111–119.</w:t>
      </w:r>
    </w:p>
    <w:p>
      <w:pPr>
        <w:spacing w:line="276" w:lineRule="auto" w:after="60"/>
      </w:pPr>
      <w:r>
        <w:rPr>
          <w:rFonts w:ascii="Arial" w:hAnsi="Arial"/>
          <w:color w:val="000000"/>
          <w:sz w:val="44"/>
        </w:rPr>
        <w:t>Pedregosa,F., Varoquaux,G., Gramfort,A., Michel,V., Thirion,B., Grisel,O., Blondel,M., Prettenhofer,P., Weiss,R., Dubourg,V. et al. (2011) Scikit-learn: machine learning in Python. *J. Mach. Learn. Res.*, **12**, 2825–2830.</w:t>
      </w:r>
    </w:p>
    <w:p>
      <w:pPr>
        <w:spacing w:line="276" w:lineRule="auto" w:after="60"/>
      </w:pPr>
      <w:r>
        <w:rPr>
          <w:rFonts w:ascii="Arial" w:hAnsi="Arial"/>
          <w:color w:val="000000"/>
          <w:sz w:val="44"/>
        </w:rPr>
        <w:t>Waskom,M.L. (2021) seaborn: statistical data visualization. *J. Open Source Softw.*, **6**, 3021.</w:t>
      </w:r>
    </w:p>
    <w:p>
      <w:pPr>
        <w:spacing w:line="276" w:lineRule="auto" w:after="60"/>
      </w:pPr>
      <w:r>
        <w:rPr>
          <w:rFonts w:ascii="Arial" w:hAnsi="Arial"/>
          <w:color w:val="000000"/>
          <w:sz w:val="44"/>
        </w:rPr>
        <w:t>Butte,A.J., Dzau,V.J. and Glueck,S.B. (2001) Further defining housekeeping, or maintenance, genes: focus on A compendium of gene expression in normal human tissues. *Physiol. Genomics*, **7**, 95-96.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