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2"/>
        </w:rPr>
        <w:t>CKI: A Cell-state Kinetic Index for Quantifying Baseline-Normalized Transcriptomic Remodeling</w:t>
      </w:r>
    </w:p>
    <w:p>
      <w:pPr>
        <w:jc w:val="center"/>
      </w:pPr>
      <w:r>
        <w:rPr>
          <w:rFonts w:ascii="Arial" w:hAnsi="Arial"/>
          <w:color w:val="000000"/>
          <w:sz w:val="44"/>
        </w:rPr>
        <w:t>Running title: CKI: Baseline-Normalized Divergence Index</w:t>
      </w:r>
    </w:p>
    <w:p>
      <w:pPr>
        <w:jc w:val="center"/>
      </w:pPr>
      <w:r>
        <w:rPr>
          <w:rFonts w:ascii="Arial" w:hAnsi="Arial"/>
          <w:color w:val="000000"/>
          <w:sz w:val="42"/>
        </w:rPr>
        <w:t>Xianming Wu</w:t>
      </w:r>
      <w:r>
        <w:rPr>
          <w:rFonts w:ascii="Arial" w:hAnsi="Arial"/>
          <w:color w:val="000000"/>
          <w:sz w:val="22"/>
          <w:vertAlign w:val="superscript"/>
        </w:rPr>
        <w:t>1</w:t>
      </w:r>
      <w:r>
        <w:t xml:space="preserve">, </w:t>
      </w:r>
      <w:r>
        <w:rPr>
          <w:rFonts w:ascii="Arial" w:hAnsi="Arial"/>
          <w:color w:val="000000"/>
          <w:sz w:val="42"/>
        </w:rPr>
        <w:t>Li Zhang</w:t>
      </w:r>
      <w:r>
        <w:rPr>
          <w:rFonts w:ascii="Arial" w:hAnsi="Arial"/>
          <w:color w:val="000000"/>
          <w:sz w:val="22"/>
          <w:vertAlign w:val="superscript"/>
        </w:rPr>
        <w:t>1</w:t>
      </w:r>
      <w:r>
        <w:rPr>
          <w:rFonts w:ascii="Arial" w:hAnsi="Arial"/>
          <w:color w:val="000000"/>
          <w:sz w:val="22"/>
          <w:vertAlign w:val="superscript"/>
        </w:rPr>
        <w:t>2</w:t>
      </w:r>
      <w:r>
        <w:rPr>
          <w:rFonts w:ascii="Arial" w:hAnsi="Arial"/>
          <w:color w:val="000000"/>
          <w:sz w:val="22"/>
          <w:vertAlign w:val="superscript"/>
        </w:rPr>
        <w:t>*</w:t>
      </w:r>
    </w:p>
    <w:p>
      <w:pPr>
        <w:jc w:val="center"/>
      </w:pPr>
      <w:r>
        <w:rPr>
          <w:rFonts w:ascii="Arial" w:hAnsi="Arial"/>
          <w:color w:val="000000"/>
          <w:sz w:val="44"/>
          <w:vertAlign w:val="superscript"/>
        </w:rPr>
        <w:t>1</w:t>
      </w:r>
      <w:r>
        <w:rPr>
          <w:rFonts w:ascii="Arial" w:hAnsi="Arial"/>
          <w:color w:val="000000"/>
          <w:sz w:val="44"/>
        </w:rPr>
        <w:t>Chinese Institute for Brain Research, Beijing, China</w:t>
      </w:r>
    </w:p>
    <w:p>
      <w:pPr>
        <w:jc w:val="center"/>
      </w:pPr>
      <w:r>
        <w:rPr>
          <w:rFonts w:ascii="Arial" w:hAnsi="Arial"/>
          <w:color w:val="000000"/>
          <w:sz w:val="44"/>
          <w:vertAlign w:val="superscript"/>
        </w:rPr>
        <w:t>2</w:t>
      </w:r>
      <w:r>
        <w:rPr>
          <w:rFonts w:ascii="Arial" w:hAnsi="Arial"/>
          <w:color w:val="000000"/>
          <w:sz w:val="44"/>
        </w:rPr>
        <w:t>Institute of Blood Transfusion, Chinese Academy of Medical Sciences &amp; Peking Union Medical College, Chengdu, China</w:t>
      </w:r>
    </w:p>
    <w:p>
      <w:pPr>
        <w:jc w:val="center"/>
      </w:pPr>
      <w:r>
        <w:rPr>
          <w:rFonts w:ascii="Arial" w:hAnsi="Arial"/>
          <w:color w:val="000000"/>
          <w:sz w:val="44"/>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32"/>
          <w:b/>
        </w:rPr>
        <w:t>Graphical Abstract</w:t>
      </w:r>
    </w:p>
    <w:p>
      <w:pPr>
        <w:spacing w:line="276" w:lineRule="auto" w:after="80"/>
        <w:ind w:firstLine="0"/>
      </w:pPr>
      <w:r>
        <w:rPr>
          <w:rFonts w:ascii="Arial" w:hAnsi="Arial"/>
          <w:b w:val="0"/>
          <w:i w:val="0"/>
          <w:color w:val="000000"/>
          <w:sz w:val="22"/>
        </w:rPr>
        <w:t>[See separate Graphical Abstract file (CKI_graphical_abstract.pdf).]</w:t>
      </w:r>
    </w:p>
    <w:p>
      <w:pPr>
        <w:pStyle w:val="Heading1"/>
        <w:spacing w:before="420" w:after="160"/>
      </w:pPr>
      <w:r>
        <w:rPr>
          <w:rFonts w:ascii="Arial" w:hAnsi="Arial"/>
          <w:color w:val="000000"/>
          <w:sz w:val="32"/>
          <w:b/>
        </w:rPr>
        <w:t>Abstract</w:t>
      </w:r>
    </w:p>
    <w:p>
      <w:pPr>
        <w:spacing w:line="276" w:lineRule="auto" w:after="80"/>
        <w:ind w:firstLine="0"/>
      </w:pPr>
      <w:r>
        <w:rPr>
          <w:rFonts w:ascii="Arial" w:hAnsi="Arial"/>
          <w:b w:val="0"/>
          <w:i w:val="0"/>
          <w:color w:val="000000"/>
          <w:sz w:val="22"/>
        </w:rPr>
        <w:t>Comparing cell populations is fundamental in single-cell genomics, yet standard distance metrics conflate baseline variation with functional adaptation.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from millions of cells. Calibration confirmed an empirical baseline for equivalent populations (mean ω = 6.67, 95% bootstrap CI [4.12, 9.33], all P &gt; 0.05), inflated above theoretical unity by highly variable gene selection. CKI ω was negatively correlated with all standard distance metrics (Spearman r = −0.38 to −0.57, all P &lt; 0.001), indicating it captures an independent information dimension. Cancer analysis revealed transcriptional convergence across genetically diverse tumors. Brain analysis identified 30 cell-type developmental signatures spanning four biological mechanisms (two with permutation support) among 31,764 comparisons. CKI provides a principled framework for quantifying functional divergence against an internal baseline, available as an open-source Python package.</w:t>
      </w:r>
    </w:p>
    <w:p>
      <w:pPr>
        <w:jc w:val="center"/>
      </w:pPr>
      <w:r>
        <w:rPr>
          <w:rFonts w:ascii="Arial" w:hAnsi="Arial"/>
          <w:color w:val="000000"/>
          <w:sz w:val="44"/>
        </w:rPr>
        <w:t>Keywords: cell-state divergence, housekeeping genes, Jensen-Shannon decomposition, transcriptomic remodeling, single-cell genomics</w:t>
      </w:r>
    </w:p>
    <w:p>
      <w:pPr>
        <w:pStyle w:val="Heading1"/>
        <w:spacing w:before="420" w:after="160"/>
      </w:pPr>
      <w:r>
        <w:rPr>
          <w:rFonts w:ascii="Arial" w:hAnsi="Arial"/>
          <w:color w:val="000000"/>
          <w:sz w:val="32"/>
          <w:b/>
        </w:rPr>
        <w:t>Introduction</w:t>
      </w:r>
    </w:p>
    <w:p>
      <w:pPr>
        <w:spacing w:line="276" w:lineRule="auto" w:after="8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8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 where donor-level and batch-level variation often dominates over cell-type identity. Methods such as Harmony (2), scVI (3), and SATURN (4) have been developed specifically to remove such nuisance variation (5). However, after correction, a key question remains: how much of the remaining difference between two populations represents functional adaptation, and how much is simply neutral drift?</w:t>
      </w:r>
    </w:p>
    <w:p>
      <w:pPr>
        <w:spacing w:line="276" w:lineRule="auto" w:after="8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(6, 40).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80"/>
        <w:ind w:firstLine="0"/>
      </w:pPr>
      <w:r>
        <w:rPr>
          <w:rFonts w:ascii="Arial" w:hAnsi="Arial"/>
          <w:b w:val="0"/>
          <w:i w:val="0"/>
          <w:color w:val="000000"/>
          <w:sz w:val="22"/>
        </w:rPr>
        <w:t>We validated CKI across four scales, each testing a different aspect of the method. First, we calibrated CKI on Tabula Muris mouse data (7), confirming that random splits of the same cell population yield ω above 1 (empirical calibration baseline 6.67, 95% bootstrap CI [4.12, 9.33]). Second, we extended CKI to Tabula Sapiens human data (8) and found that CKI ω is negatively correlated with all four standard distance metrics, demonstrating that it captures an independent information dimension. Third, we applied CKI to TCGA cancer data (9,10), revealing that tumors are paradoxically more transcriptionally homogeneous than normal tissues. Fourth, we used CKI to analyze a human brain single-nucleus atlas (11), measuring how the same cell types differ across brain regions and demonstrating that CKI can detect persistent developmental signatures—including developmental origin heterogeneity and compartmentalized developmental specification (both with permutation support), as well as colonization route boundaries and a postnatal migration event (exploratory, not reaching the permutation P-value floor)—from adult transcriptomic data.</w:t>
      </w:r>
    </w:p>
    <w:p>
      <w:pPr>
        <w:pStyle w:val="Heading1"/>
        <w:spacing w:before="420" w:after="160"/>
      </w:pPr>
      <w:r>
        <w:rPr>
          <w:rFonts w:ascii="Arial" w:hAnsi="Arial"/>
          <w:color w:val="000000"/>
          <w:sz w:val="32"/>
          <w:b/>
        </w:rPr>
        <w:t>Materials and Methods</w:t>
      </w:r>
    </w:p>
    <w:p>
      <w:pPr>
        <w:pStyle w:val="Heading2"/>
        <w:spacing w:before="420" w:after="160"/>
      </w:pPr>
      <w:r>
        <w:rPr>
          <w:rFonts w:ascii="Arial" w:hAnsi="Arial"/>
          <w:color w:val="000000"/>
          <w:sz w:val="28"/>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(12). Pseudobulk vectors are computed by averaging expression across cells sharing the same cell-type annotation, requiring at least 10 cells per group. Housekeeping (HK) genes are loaded from the HRT Atlas v1.0 reference (13)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(42) uses the base-2 logarithm (range [0, 1]).</w:t>
      </w:r>
    </w:p>
    <w:p>
      <w:pPr>
        <w:pStyle w:val="Heading2"/>
        <w:spacing w:before="420" w:after="160"/>
      </w:pPr>
      <w:r>
        <w:rPr>
          <w:rFonts w:ascii="Arial" w:hAnsi="Arial"/>
          <w:color w:val="000000"/>
          <w:sz w:val="28"/>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8"/>
          <w:b/>
        </w:rPr>
        <w:t>Bootstrap permutation test</w:t>
      </w:r>
    </w:p>
    <w:p>
      <w:pPr>
        <w:spacing w:line="276" w:lineRule="auto" w:after="8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reported as a descriptive measure of separation magnitude. Given the non-normal ω distribution, SES is interpreted as a non-parametric descriptive statistic complementing the permutation P-value, not as a parametric test statistic such as Cohen’s d.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420" w:after="160"/>
      </w:pPr>
      <w:r>
        <w:rPr>
          <w:rFonts w:ascii="Arial" w:hAnsi="Arial"/>
          <w:color w:val="000000"/>
          <w:sz w:val="28"/>
          <w:b/>
        </w:rPr>
        <w:t>Datasets</w:t>
      </w:r>
    </w:p>
    <w:p>
      <w:pPr>
        <w:spacing w:line="276" w:lineRule="auto" w:after="80"/>
        <w:ind w:firstLine="0"/>
      </w:pPr>
      <w:r>
        <w:rPr>
          <w:rFonts w:ascii="Arial" w:hAnsi="Arial"/>
          <w:b w:val="0"/>
          <w:i w:val="0"/>
          <w:color w:val="000000"/>
          <w:sz w:val="22"/>
        </w:rPr>
        <w:t>Tabula Muris FACS SmartSeq2 (7): 15,057 cells, 22,308 genes, 6 organs (liver, kidney, spleen, lung, heart, bone marrow). Post-QC: 32 cell-type entries (each with at least 10 cells). Highly variable genes selected using scanpy (14) with flavor="seurat" (15,16) and n_top_genes=2,000.</w:t>
      </w:r>
    </w:p>
    <w:p>
      <w:pPr>
        <w:spacing w:line="276" w:lineRule="auto" w:after="80"/>
        <w:ind w:firstLine="0"/>
      </w:pPr>
      <w:r>
        <w:rPr>
          <w:rFonts w:ascii="Arial" w:hAnsi="Arial"/>
          <w:b w:val="0"/>
          <w:i w:val="0"/>
          <w:color w:val="000000"/>
          <w:sz w:val="22"/>
        </w:rPr>
        <w:t>Tabula Sapiens v1.0 (8): accessed via CZ CELLxGENE Discover. Post-QC: 108,136 cells (6 h5ad files total), 51,852 genes, 102 cell-type entries across 6 organs. HK genes: HRT Atlas v1.0 reference (1,130 genes; human column).</w:t>
      </w:r>
    </w:p>
    <w:p>
      <w:pPr>
        <w:spacing w:line="276" w:lineRule="auto" w:after="80"/>
        <w:ind w:firstLine="0"/>
      </w:pPr>
      <w:r>
        <w:rPr>
          <w:rFonts w:ascii="Arial" w:hAnsi="Arial"/>
          <w:b w:val="0"/>
          <w:i w:val="0"/>
          <w:color w:val="000000"/>
          <w:sz w:val="22"/>
        </w:rPr>
        <w:t>TCGA bulk RNA-seq (17): five cancer types from NCI Genomic Data Commons, accessed via TCGAbiolinks (18) and cBioPortal (19) APIs. LUAD: 495 tumor + 76 normal; LUSC: 567 tumor + 58 normal; LIHC: 365 tumor + 57 normal; KIRC: 755 tumor + 82 normal; BRCA: 1032 tumor + 109 normal. TPM values from UCSC Xena, log2(TPM + 1) transformed. PAM50 classification (20,21): nearest centroid (Pearson correlation), 44 of 47 PAM50 genes matched. LIHC Edmondson grade (22):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(11): Siletti et al. (2023) single-nucleus RNA-seq (v3.11) from CZ CELLxGENE Discover (collection ID: 283d65eb-2f53-46e9-a951-0da342e3d1f2).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(10,932), fibroblasts (10,156), ependymal cells (7,882), choroid plexus (9,689),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420" w:after="160"/>
      </w:pPr>
      <w:r>
        <w:rPr>
          <w:rFonts w:ascii="Arial" w:hAnsi="Arial"/>
          <w:color w:val="000000"/>
          <w:sz w:val="28"/>
          <w:b/>
        </w:rPr>
        <w:t>Method comparison</w:t>
      </w:r>
    </w:p>
    <w:p>
      <w:pPr>
        <w:spacing w:line="276" w:lineRule="auto" w:after="8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420" w:after="160"/>
      </w:pPr>
      <w:r>
        <w:rPr>
          <w:rFonts w:ascii="Arial" w:hAnsi="Arial"/>
          <w:color w:val="000000"/>
          <w:sz w:val="28"/>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Given the large number of tests (m = 31,764) and the finite permutation resolution (B = 10,000), 36.3% of signals (11,541/31,764) reached the empirical P-value floor (P = 9.99 × 10⁻⁵), precluding meaningful Benjamini-Hochberg FDR correction. We therefore report unadjusted permutation P-values and interpret significance descriptively: signals reaching the P-value floor (no null permutation exceeded the observed residual in 10,000 shuffles) are considered strong evidence of deviation from the multiplicative null model, while signals with P ≥ 0.50 show little to no evidence of departure. Per-signal tests are not independent (the same cell type or region pair appears in multiple comparisons); we restrict biological interpretation to the 30 predefined Strong candidates rather than the full 31,764 search space, and treat the permutation results as descriptive validation rather than formal FDR-controlled inference.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420" w:after="160"/>
      </w:pPr>
      <w:r>
        <w:rPr>
          <w:rFonts w:ascii="Arial" w:hAnsi="Arial"/>
          <w:color w:val="000000"/>
          <w:sz w:val="28"/>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(20,21); 44 of 47 PAM50 genes matched to TCGA gene symbols. LIHC Edmondson histological grades (22)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420" w:after="160"/>
      </w:pPr>
      <w:r>
        <w:rPr>
          <w:rFonts w:ascii="Arial" w:hAnsi="Arial"/>
          <w:color w:val="000000"/>
          <w:sz w:val="28"/>
          <w:b/>
        </w:rPr>
        <w:t>Computational environment</w:t>
      </w:r>
    </w:p>
    <w:p>
      <w:pPr>
        <w:spacing w:line="276" w:lineRule="auto" w:after="80"/>
        <w:ind w:firstLine="0"/>
      </w:pPr>
      <w:r>
        <w:rPr>
          <w:rFonts w:ascii="Arial" w:hAnsi="Arial"/>
          <w:b w:val="0"/>
          <w:i w:val="0"/>
          <w:color w:val="000000"/>
          <w:sz w:val="22"/>
        </w:rPr>
        <w:t>Typical runtime for a single cell-type pair analysis is under 5 minutes on a standard laptop (Apple M2, 16 GB RAM); the full brain analysis (31,764 pairs) required approximately 72 core-hours on a 32-core workstation. All analyses were performed in Python 3.13.12 with scanpy &gt;= 1.9.0 (14), scipy &gt;= 1.10.0, numpy &gt;= 1.23.0, pandas &gt;= 1.5.0, matplotlib &gt;= 3.6.0, seaborn (46) &gt;= 0.12.0, and scikit-learn (45) &gt;= 1.2.0. All random seeds were fixed at 42 for reproducibility. Bootstrap permutation results are stable with respect to the random seed choice: with B = 1,000 permutations, the Monte Carlo standard error of the empirical P-value is approximately 0.016 at P = 0.5 and 0.001 at P = 0.001, meaning seed variation has negligible impact on statistical conclusions.</w:t>
      </w:r>
    </w:p>
    <w:p>
      <w:pPr>
        <w:pStyle w:val="Heading2"/>
        <w:spacing w:before="420" w:after="160"/>
      </w:pPr>
      <w:r>
        <w:rPr>
          <w:rFonts w:ascii="Arial" w:hAnsi="Arial"/>
          <w:color w:val="000000"/>
          <w:sz w:val="28"/>
          <w:b/>
        </w:rPr>
        <w:t>Statistical reporting</w:t>
      </w:r>
    </w:p>
    <w:p>
      <w:pPr>
        <w:spacing w:line="276" w:lineRule="auto" w:after="80"/>
        <w:ind w:firstLine="0"/>
      </w:pPr>
      <w:r>
        <w:rPr>
          <w:rFonts w:ascii="Arial" w:hAnsi="Arial"/>
          <w:b w:val="0"/>
          <w:i w:val="0"/>
          <w:color w:val="000000"/>
          <w:sz w:val="22"/>
        </w:rPr>
        <w:t>We report summary statistics as mean ± s.d. (range) or median [IQR] as noted. Box plots display median, IQR, and 1.5× IQR whiskers. Bootstrap permutation testing (43)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(23).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non-parametric descriptive statistic complementing the permutation P-value, not as a parametric test statistic such as Cohen’s d. The calibration experiment using split-half equivalent populations (n = 6 random splits of the same tissue) yielded a mean ω = 6.67 (95% bootstrap CI [4.12, 9.33], B = 10,000 resamples of the 6 control ω values),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420" w:after="160"/>
      </w:pPr>
      <w:r>
        <w:rPr>
          <w:rFonts w:ascii="Arial" w:hAnsi="Arial"/>
          <w:color w:val="000000"/>
          <w:sz w:val="32"/>
          <w:b/>
        </w:rPr>
        <w:t>Results</w:t>
      </w:r>
    </w:p>
    <w:p>
      <w:pPr>
        <w:pStyle w:val="Heading2"/>
        <w:spacing w:before="420" w:after="160"/>
      </w:pPr>
      <w:r>
        <w:rPr>
          <w:rFonts w:ascii="Arial" w:hAnsi="Arial"/>
          <w:color w:val="000000"/>
          <w:sz w:val="28"/>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(13),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Fig. 2), identity genes are the top-2,000 highly variable genes (HVGs; Seurat flavor), excluding HK genes to maintain k_n/k_f independence. For the mouse pilot calibration and all cross-species analyses (human, TCGA, brain), we used a hybrid scheme: k_n is computed globally with a shared HK gene set, while k_f uses the top-200 differentially expressed genes (ranked by absolute mean difference) for each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as a non-parametric descriptive statistic complementary to the permutation P-value.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8"/>
          <w:b/>
        </w:rPr>
        <w:t>Calibration confirms baseline behavior at baseline</w:t>
      </w:r>
    </w:p>
    <w:p>
      <w:pPr>
        <w:spacing w:line="276" w:lineRule="auto" w:after="80"/>
        <w:ind w:firstLine="0"/>
      </w:pPr>
      <w:r>
        <w:rPr>
          <w:rFonts w:ascii="Arial" w:hAnsi="Arial"/>
          <w:b w:val="0"/>
          <w:i w:val="0"/>
          <w:color w:val="000000"/>
          <w:sz w:val="22"/>
        </w:rPr>
        <w:t>We calibrated CKI on the Tabula Muris FACS dataset (7) (SmartSeq2, 15,057 cells, 22,308 genes, 6 organs). Housekeeping genes were loaded from the HRT Atlas v1.0 reference (13) (mouse ortholog column). For the full pairwise matrix (703 pairs, Fig. 2), identity genes were the top-2,000 highly variable genes (HVGs; Seurat), excluding HK genes. For the pilot calibration (controls, S/D/X categories), we used a hybrid scheme: global k_n (shared HK gene set) with per-pair k_f (top-200 differentially expressed genes, ranked by absolute mean difference, HK excluded).</w:t>
      </w:r>
    </w:p>
    <w:p>
      <w:pPr>
        <w:spacing w:line="276" w:lineRule="auto" w:after="8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52%),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~52%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8–12. The calibrate_omega() function is available in the CKI package.</w:t>
      </w:r>
    </w:p>
    <w:p>
      <w:pPr>
        <w:pStyle w:val="Heading2"/>
        <w:spacing w:before="420" w:after="160"/>
      </w:pPr>
      <w:r>
        <w:rPr>
          <w:rFonts w:ascii="Arial" w:hAnsi="Arial"/>
          <w:color w:val="000000"/>
          <w:sz w:val="28"/>
          <w:b/>
        </w:rPr>
        <w:t>CKI captures information that standard metrics miss</w:t>
      </w:r>
    </w:p>
    <w:p>
      <w:pPr>
        <w:spacing w:line="276" w:lineRule="auto" w:after="80"/>
        <w:ind w:firstLine="0"/>
      </w:pPr>
      <w:r>
        <w:rPr>
          <w:rFonts w:ascii="Arial" w:hAnsi="Arial"/>
          <w:b w:val="0"/>
          <w:i w:val="0"/>
          <w:color w:val="000000"/>
          <w:sz w:val="22"/>
        </w:rPr>
        <w:t>We extended CKI to the Tabula Sapiens human atlas (8)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(13) (human column) (Fig. 3).</w:t>
      </w:r>
    </w:p>
    <w:p>
      <w:pPr>
        <w:spacing w:line="276" w:lineRule="auto" w:after="8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420" w:after="160"/>
      </w:pPr>
      <w:r>
        <w:rPr>
          <w:rFonts w:ascii="Arial" w:hAnsi="Arial"/>
          <w:b/>
          <w:sz w:val="22"/>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0.716, ranked 4th of 5 methods, above Spearman distance at AUC = 0.690 but below cosine distance at AUC = 0.887; Table 1; Supplementary Fig. S4). This moderate ranking is expected by design: CKI down-weights shared HK gene patterns to isolate functional divergence, trading some ability to detect global transcriptional identity for enhanced sensitivity to functional specialization. The AUC rank therefore validates that CKI captures a distinct signal rather than being a better general-purpose classifier.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420" w:after="160"/>
      </w:pPr>
      <w:r>
        <w:rPr>
          <w:rFonts w:ascii="Arial" w:hAnsi="Arial"/>
          <w:color w:val="000000"/>
          <w:sz w:val="28"/>
          <w:b/>
        </w:rPr>
        <w:t>Cancer analysis reveals unexpected transcriptional convergence</w:t>
      </w:r>
    </w:p>
    <w:p>
      <w:pPr>
        <w:spacing w:line="276" w:lineRule="auto" w:after="80"/>
        <w:ind w:firstLine="0"/>
      </w:pPr>
      <w:r>
        <w:rPr>
          <w:rFonts w:ascii="Arial" w:hAnsi="Arial"/>
          <w:b w:val="0"/>
          <w:i w:val="0"/>
          <w:color w:val="000000"/>
          <w:sz w:val="22"/>
        </w:rPr>
        <w:t>We applied CKI to TCGA bulk RNA-seq data across five cancer types (LUAD, LUSC, LIHC, KIRC, BRCA) (9,10), totalling 3,596 samples. We asked a simple question: when cancer develops, how much functional transcriptional divergence occurs? CKI provides a principled answer by comparing tumor-tumor (TT), normal-normal (NN), and tumor-normal (TN) ω values (Fig. 4; Supplementary Fig. S3).</w:t>
      </w:r>
    </w:p>
    <w:p>
      <w:pPr>
        <w:spacing w:line="276" w:lineRule="auto" w:after="80"/>
        <w:ind w:firstLine="0"/>
      </w:pPr>
      <w:r>
        <w:rPr>
          <w:rFonts w:ascii="Arial" w:hAnsi="Arial"/>
          <w:b w:val="0"/>
          <w:i w:val="0"/>
          <w:color w:val="000000"/>
          <w:sz w:val="22"/>
        </w:rPr>
        <w:t>The TCGA analysis is inherently exploratory because bulk RNA-seq cannot distinguish genuine transcriptional convergence of tumor cells from at least three alternative explanations: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With these caveats, a notable observation, at bulk RNA-seq resolution, was that tumors appeared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Single-cell or deconvolution-based analyses would be needed to disentangle genuine transcriptional convergence from cell-composition artifacts.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We then asked whether ω tracks with clinical severity within cancer types. In liver cancer, ω decreased with increasing Edmondson grade (22): G1 (101.8 ± 46.8, n = 39) &gt; G2 (100.2 ± 63.9, n = 133) &gt; G3 (96.8 ± 58.2, n = 105) &gt; G4 (90.0 ± 57.8, n = 11; Jonckheere-Terpstra trend test, P &lt; 0.001). In breast cancer, PAM50 subtype analysis (20,21)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420" w:after="160"/>
      </w:pPr>
      <w:r>
        <w:rPr>
          <w:rFonts w:ascii="Arial" w:hAnsi="Arial"/>
          <w:color w:val="000000"/>
          <w:sz w:val="28"/>
          <w:b/>
        </w:rPr>
        <w:t>CKI ranks cell types by cross-organ conservation</w:t>
      </w:r>
    </w:p>
    <w:p>
      <w:pPr>
        <w:spacing w:before="420" w:after="160"/>
      </w:pPr>
      <w:r>
        <w:rPr>
          <w:rFonts w:ascii="Arial" w:hAnsi="Arial"/>
          <w:b/>
          <w:sz w:val="22"/>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60"/>
      </w:pPr>
    </w:p>
    <w:p>
      <w:pPr>
        <w:spacing w:line="276" w:lineRule="auto" w:after="8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 Supplementary Fig. S5)?</w:t>
      </w:r>
    </w:p>
    <w:p>
      <w:pPr>
        <w:spacing w:line="276" w:lineRule="auto" w:after="8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(24).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8"/>
          <w:b/>
        </w:rPr>
        <w:t>Brain regional analysis reveals cell-type differentiation gradients</w:t>
      </w:r>
    </w:p>
    <w:p>
      <w:pPr>
        <w:spacing w:line="276" w:lineRule="auto" w:after="80"/>
        <w:ind w:firstLine="0"/>
      </w:pPr>
      <w:r>
        <w:rPr>
          <w:rFonts w:ascii="Arial" w:hAnsi="Arial"/>
          <w:b w:val="0"/>
          <w:i w:val="0"/>
          <w:color w:val="000000"/>
          <w:sz w:val="22"/>
        </w:rPr>
        <w:t>We applied CKI to the Siletti et al. human brain single-nucleus RNA-seq atlas (11),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Neurons were excluded because the supercluster_term annotation does not resolve the extensive neuronal subtype heterogeneity (glutamatergic, GABAergic, dopaminergic, etc., spanning dozens of transcriptionally distinct populations). Treating neurons as a single cell class would violate the same-cell-type assumption of our cross-region framework, as different brain regions contain fundamentally different neuron subtype compositions. We therefore restricted the analysis to non-neuronal cells, where the supercluster_term annotation provides well-defined, transcriptionally coherent cell classes suitable for same-cell-type cross-region comparison, and computed CKI ω for all same-cell-type cross-region comparisons (31,764 pairs total) (Fig. 6; Supplementary Fig. S6).</w:t>
      </w:r>
    </w:p>
    <w:p>
      <w:pPr>
        <w:spacing w:line="276" w:lineRule="auto" w:after="8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(41).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8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(34) and meningeal structures (35)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 complementary transcriptomic readout of migration history.</w:t>
      </w:r>
    </w:p>
    <w:p>
      <w:pPr>
        <w:pStyle w:val="Heading2"/>
        <w:spacing w:before="420" w:after="160"/>
      </w:pPr>
      <w:r>
        <w:rPr>
          <w:rFonts w:ascii="Arial" w:hAnsi="Arial"/>
          <w:color w:val="000000"/>
          <w:sz w:val="28"/>
          <w:b/>
        </w:rPr>
        <w:t>CKI correlates with developmental origin signatures across brain regions</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(31–33)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These mechanisms are not mutually exclusive; a given cell-type/region-pair signal may involve overlapping processes (e.g., developmental origin and compartmentalized specification jointly shaping astrocyte thalamic signatures). Mechanism assignment uses the multiplicative residual model to flag anomalous cell-type/region-pair combinations, with the biological interpretation corroborated by the known developmental biology of each cell type.</w:t>
      </w:r>
    </w:p>
    <w:p>
      <w:pPr>
        <w:spacing w:line="276" w:lineRule="auto" w:after="8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 Supplementary Fig. S7).</w:t>
      </w:r>
    </w:p>
    <w:p>
      <w:pPr>
        <w:spacing w:line="276" w:lineRule="auto" w:after="80"/>
        <w:ind w:firstLine="0"/>
      </w:pPr>
      <w:r>
        <w:rPr>
          <w:rFonts w:ascii="Arial" w:hAnsi="Arial"/>
          <w:b w:val="0"/>
          <w:i w:val="0"/>
          <w:color w:val="000000"/>
          <w:sz w:val="22"/>
        </w:rPr>
        <w:t>Among 31,764 cross-region comparisons, threshold criteria (residual &lt; 0.3, ω &lt; 15) identified 30 (0.09%) threshold-passing candidates: Astrocyte (6), oligodendrocyte (10), microglia (10), fibroblast (1), and vascular cells (3). Another 1,247 pairs (3.93%) were Moderate candidates, and 6,567 (20.67%) were Weak candidates. Permutation testing (B = 10,000) revealed that 16 of these 30 candidates reached the permutation P-value floor (P = 9.99 × 10⁻⁵): all 6 astrocyte and all 10 oligodendrocyte signals. We designate these 16 as Strong signals and describe them in detail below. The remaining 14 threshold-passing candidates (10 microglia, 1 fibroblast, 3 vascular) showed no evidence of deviation from the multiplicative null model (all P ≥ 0.76); their biological interpretation is deferred to the Discussion. Given the large number of tests (m = 31,764) and P-value floor saturation (36.3% of signals at P = 9.99 × 10⁻⁵), formal FDR correction is not applicable; the 16 floor-reaching signals are interpreted as descriptive evidence rather than FDR-controlled discoveries; Supplementary Fig. S9).</w:t>
      </w:r>
    </w:p>
    <w:p>
      <w:pPr>
        <w:pStyle w:val="Heading3"/>
        <w:spacing w:before="420" w:after="160"/>
      </w:pPr>
      <w:r>
        <w:rPr>
          <w:rFonts w:ascii="Arial" w:hAnsi="Arial"/>
          <w:color w:val="000000"/>
          <w:sz w:val="24"/>
          <w:b/>
        </w:rPr>
        <w:t>OPCs: internal consistency check</w:t>
      </w:r>
    </w:p>
    <w:p>
      <w:pPr>
        <w:spacing w:line="276" w:lineRule="auto" w:after="80"/>
        <w:ind w:firstLine="0"/>
      </w:pPr>
      <w:r>
        <w:rPr>
          <w:rFonts w:ascii="Arial" w:hAnsi="Arial"/>
          <w:b w:val="0"/>
          <w:i w:val="0"/>
          <w:color w:val="000000"/>
          <w:sz w:val="22"/>
        </w:rPr>
        <w:t>Oligodendrocyte precursor cells (OPCs) are the most actively migrating cells in the adult CNS, continuously surveilling their environment along vascular scaffolds (25,26). Yet CKI detected 0 Strong signals among 5,671 OPC cross-region comparisons—a finding that provides a useful internal consistency check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(27).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420" w:after="160"/>
      </w:pPr>
      <w:r>
        <w:rPr>
          <w:rFonts w:ascii="Arial" w:hAnsi="Arial"/>
          <w:color w:val="000000"/>
          <w:sz w:val="24"/>
          <w:b/>
        </w:rPr>
        <w:t>Oligodendrocytes: developmental origin rather than migration</w:t>
      </w:r>
    </w:p>
    <w:p>
      <w:pPr>
        <w:spacing w:line="276" w:lineRule="auto" w:after="80"/>
        <w:ind w:firstLine="0"/>
      </w:pPr>
      <w:r>
        <w:rPr>
          <w:rFonts w:ascii="Arial" w:hAnsi="Arial"/>
          <w:b w:val="0"/>
          <w:i w:val="0"/>
          <w:color w:val="000000"/>
          <w:sz w:val="22"/>
        </w:rPr>
        <w:t>Mature oligodendrocytes contributed 10 Strong signals (residual 0.237–0.292), all of which reached the permutation P-value floor (P = 9.99 × 10⁻⁵, B = 10,000).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(27)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detect the transcriptional boundary between dorsal and ventral oligodendrocyte populations without requiring lineage tracing.</w:t>
      </w:r>
    </w:p>
    <w:p>
      <w:pPr>
        <w:pStyle w:val="Heading3"/>
        <w:spacing w:before="420" w:after="160"/>
      </w:pPr>
      <w:r>
        <w:rPr>
          <w:rFonts w:ascii="Arial" w:hAnsi="Arial"/>
          <w:color w:val="000000"/>
          <w:sz w:val="24"/>
          <w:b/>
        </w:rPr>
        <w:t>Astrocytes: regional specialization with developmental origins</w:t>
      </w:r>
    </w:p>
    <w:p>
      <w:pPr>
        <w:spacing w:line="276" w:lineRule="auto" w:after="80"/>
        <w:ind w:firstLine="0"/>
      </w:pPr>
      <w:r>
        <w:rPr>
          <w:rFonts w:ascii="Arial" w:hAnsi="Arial"/>
          <w:b w:val="0"/>
          <w:i w:val="0"/>
          <w:color w:val="000000"/>
          <w:sz w:val="22"/>
        </w:rPr>
        <w:t>Astrocytes showed the highest global ω (14.36, 95% CI [14.14, 14.58]) yet contributed 6 Strong signals, all of which reached the permutation P-value floor (P = 9.99 × 10⁻⁵, B = 10,000).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(28). Endo et al. (29)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420" w:after="160"/>
      </w:pPr>
      <w:r>
        <w:rPr>
          <w:rFonts w:ascii="Arial" w:hAnsi="Arial"/>
          <w:color w:val="000000"/>
          <w:sz w:val="24"/>
          <w:b/>
        </w:rPr>
        <w:t>Bergmann glia: cerebellar molecular topography</w:t>
      </w:r>
    </w:p>
    <w:p>
      <w:pPr>
        <w:spacing w:line="276" w:lineRule="auto" w:after="80"/>
        <w:ind w:firstLine="0"/>
      </w:pPr>
      <w:r>
        <w:rPr>
          <w:rFonts w:ascii="Arial" w:hAnsi="Arial"/>
          <w:b w:val="0"/>
          <w:i w:val="0"/>
          <w:color w:val="000000"/>
          <w:sz w:val="22"/>
        </w:rPr>
        <w:t>Bergmann glia had the lowest global ω (2.37) and no Strong signals, consistent with their developmentally fixed, transcriptionally constrained state in the adult cerebellum (30). Bergmann glia are patterned into topographic molecular zones that align with cerebellar functional compartments (28), and their low global ω reflects their specialized role in maintaining Purkinje cell layer architecture with minimal regional transcriptional variation. The astrocyte CBL (cerebellar lobule) vs. CBV (cerebellar vermis) Strong signal reflects the established molecular topography difference across cerebellar compartments, rather than any migratory event.</w:t>
      </w:r>
    </w:p>
    <w:p>
      <w:pPr>
        <w:pStyle w:val="Heading3"/>
        <w:spacing w:before="420" w:after="160"/>
      </w:pPr>
      <w:r>
        <w:rPr>
          <w:rFonts w:ascii="Arial" w:hAnsi="Arial"/>
          <w:color w:val="000000"/>
          <w:sz w:val="24"/>
          <w:b/>
        </w:rPr>
        <w:t>Threshold-passing but non-significant signals</w:t>
      </w:r>
    </w:p>
    <w:p>
      <w:pPr>
        <w:spacing w:line="276" w:lineRule="auto" w:after="80"/>
        <w:ind w:firstLine="0"/>
      </w:pPr>
      <w:r>
        <w:rPr>
          <w:rFonts w:ascii="Arial" w:hAnsi="Arial"/>
          <w:b w:val="0"/>
          <w:i w:val="0"/>
          <w:color w:val="000000"/>
          <w:sz w:val="22"/>
        </w:rPr>
        <w:t>Microglia (10), fibroblast (1), and vascular cells (3) produced threshold-passing Strong candidate signals (residual &lt; 0.3, ω &lt; 15), but none reached statistical significance in permutation testing (all P ≥ 0.76). These 14 signals are likely dominated by stochastic variation in the high-dimensional ω landscape and should not be interpreted as evidence of biological structure. We discuss the theoretical biological context for each cell type in the Discussion, while emphasizing that none of these signals constitute statistically supported findings.</w:t>
      </w:r>
    </w:p>
    <w:p>
      <w:pPr>
        <w:pStyle w:val="Heading1"/>
        <w:spacing w:before="420" w:after="160"/>
      </w:pPr>
      <w:r>
        <w:rPr>
          <w:rFonts w:ascii="Arial" w:hAnsi="Arial"/>
          <w:color w:val="000000"/>
          <w:sz w:val="32"/>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(95% bootstrap CI [4.12, 9.33]),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8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 Additionally, the substantially higher raw ω values in TCGA compared to single-cell datasets (e.g., BRCA Luminal A ω ≈ 344.5 vs. brain global ω = 8.01) likely reflect bulk RNA-seq averaging effects: pseudobulk averaging across millions of cells compresses HK gene variance, driving k_n toward its floor: in all 5 cancer types, the aggregate tumor-versus-normal k_n reached the floor value of 1 × 10⁻⁴, compared to mean k_n of 0.048–0.073 in single-cell datasets where single-cell resolution preserves intercellular HK gene variance. Meanwhile, tumor-specific DE gene differences are preserved (maintaining high k_f), resulting in inflated ω.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identified 30 threshold-passing candidates by predefined criteria; permutation testing (B = 10,000) confirmed that 16 of these reached the permutation P-value floor (P = 9.99 × 10⁻⁵), providing strong evidence of deviation from the multiplicative null model. The 16 Strong signals were exclusively from astrocytes (6/6) and oligodendrocytes (10/10), both reflecting developmental origin signatures: oligodendrocyte dorsal/ventral origin differences (27) explain all 10 oligodendrocyte Strong signals as cortex vs. thalamus/brainstem boundaries, while compartmentalized astrogenesis (29) explains the astrocyte thalamic and cerebellar signals. In contrast, the 14 remaining threshold-passing candidates—10 microglia, 1 fibroblast, and 3 vascular—were non-significant (all P ≥ 0.76), suggesting they may reflect stochastic variation rather than robust biological patterns. Importantly, OPCs—the most actively migrating cells in the adult CNS (25,26)—yielded 0 Strong signals among 5,671 comparisons, providing a notable complementary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using shared cell types between mouse and human atlases (44; Supplementary Fig. S2) was limited by the small number of directly comparable cell-type pairs, and ω rankings are moderately conserved between mouse and human for shared cell types, though absolute ω values differ due to different computation schemes (per-pair for mouse, hybrid for human).</w:t>
      </w:r>
    </w:p>
    <w:p>
      <w:pPr>
        <w:spacing w:line="276" w:lineRule="auto" w:after="8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(13)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Additionally, housekeeping gene expression may be dysregulated in cancer (47), potentially affecting the k_n baseline; we verified that HK genes detected by the combined criterion overlapped substantially with the reference set, but systematic cancer-specific HK dysregulation could inflate or deflate omega in a disease-specific manner.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astrocyte and oligodendrocyte signals dominate the residual model results, and these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SES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internal consistency check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80"/>
        <w:ind w:firstLine="0"/>
      </w:pPr>
      <w:r>
        <w:rPr>
          <w:rFonts w:ascii="Arial" w:hAnsi="Arial"/>
          <w:b w:val="0"/>
          <w:i w:val="0"/>
          <w:color w:val="000000"/>
          <w:sz w:val="22"/>
        </w:rPr>
        <w:t>Sixteenth, the multiplicative residual model permutation analysis used B = 10,000 permutations with m = 31,764 tests. Due to P-value floor saturation (36.3% of signals at P = 9.99 × 10⁻⁵), formal Benjamini-Hochberg FDR correction is not applicable; the 16 Strong-tier signals reaching the P-value floor are interpreted as descriptive evidence of deviation from the multiplicative null model rather than FDR-controlled discoveries. Seventeenth, the empirical calibration factor (ω_cal = ω / 6.67, 95% bootstrap CI [4.12, 9.33]) was derived from mouse split-half controls using a global HVG set for k_f, but is applied to human, TCGA, and brain analyses that use per-pair DE gene selection for k_f. The two schemes select different gene sets: global HVGs capture genes with high cross-cell variance across the entire dataset, while per-pair DE genes capture the top-200 genes with the largest expression difference between the specific pair under comparison. The per-pair scheme produces a more targeted (and potentially larger) k_f than the global scheme, so the mouse-derived calibration factor likely underestimates the true baseline inflation in the per-pair setting. However, the bootstrap CI [4.12, 9.33] quantifies the uncertainty of the baseline estimate: applying the lower bound (ω / 4.12) would shift ω_cal upward by a factor of 1.62, while the upper bound (ω / 9.33) would shift it downward by a factor of 0.71. All CKI conclusions—which rely on rank-based interpretation (ω gradients across cell types, Spearman correlations with external metrics, and permutation-based significance) rather than absolute ω_cal thresholds—are robust to this range. Cross-scheme transferability should ideally be verified through dedicated split-half calibration experiments using the per-pair DE scheme in each dataset; we provide the necessary code in the CKI package (calibrate_omega function) for users to perform such validation on their own data.</w:t>
      </w:r>
    </w:p>
    <w:p>
      <w:pPr>
        <w:spacing w:line="276" w:lineRule="auto" w:after="80"/>
        <w:ind w:firstLine="0"/>
      </w:pPr>
      <w:r>
        <w:rPr>
          <w:rFonts w:ascii="Arial" w:hAnsi="Arial"/>
          <w:b w:val="0"/>
          <w:i w:val="0"/>
          <w:color w:val="000000"/>
          <w:sz w:val="22"/>
        </w:rPr>
        <w:t>Eighteenth, the one-sided permutation test (H1: ω_obs &gt; ω_null) does not detect functional constraint (ω_obs &lt; ω_null); users investigating bidirectional hypotheses should employ two-sided permutation tests, available via the direction parameter in the CKI package. Nineteenth, the residual model permutation test (B = 10,000) reached the P-value floor (9.99 × 10⁻⁵) for 36.3% of signals. An alternative interpretation is that the null distribution, constructed by shuffling cell-type labels within region pairs, is narrower than the true null because cell types differ in global plasticity; a null that accounts for cell-type-specific baseline plasticity could reduce the saturation rate, though constructing such a null would require modeling the covariance structure of ω across cell types and region pairs. Twentieth, the k_n floor value (1 × 10⁻⁴) was reached in all 5 TCGA cancer types for the aggregate tumor-versus-normal k_n, compared to mean k_n of 0.048–0.073 in single-cell datasets. Because the k_n floor caps the denominator in ω = k_f/k_n, ω values from datasets where k_n saturates at the floor are systematically inflated relative to datasets with higher k_n. While this inflation does not affect rank-based interpretation within a dataset, it limits the comparability of absolute ω magnitudes between the TCGA (bulk RNA-seq) and single-cell dataset analyses. Twenty-first, the brain analysis was restricted to non-neuronal cell types because the supercluster_term annotation does not resolve neuronal subtype heterogeneity; this limits the generalizability of our brain regional findings to non-neuronal lineages and should be noted when interpreting the scope of our cross-region analysis.</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420" w:after="160"/>
      </w:pPr>
      <w:r>
        <w:rPr>
          <w:rFonts w:ascii="Arial" w:hAnsi="Arial"/>
          <w:color w:val="000000"/>
          <w:sz w:val="32"/>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(38). TCGA data: NCI Genomic Data Commons (https://portal.gdc.cancer.gov/). HRT Atlas (optional human/mouse HK reference): https://www.housekeeping.unicamp.br. Human brain atlas: CZ CELLxGENE Discover (collection ID as referenced in (11), accessed July 2025). PAM50 centroids: from Parker et al. (20). MSigDB Hallmark gene sets: from Liberzon et al. (39). The CKI source code (v0.3.1) is publicly available at https://github.com/zhanglknt/CKI-cell-type-identification (tag v0.3.1) under the MIT License. A permanent archival copy has been deposited at Zenodo (DOI: 10.5281/zenodo.15670808). The package requires Python ≥3.10 and runs on Linux, macOS, and Windows. A Dockerfile is provided in the repository for containerized reproducibility. All analysis notebooks and processed data matrices are included in the Supplementary Data.</w:t>
      </w:r>
    </w:p>
    <w:p>
      <w:pPr>
        <w:pStyle w:val="Heading1"/>
        <w:spacing w:before="420" w:after="160"/>
      </w:pPr>
      <w:r>
        <w:rPr>
          <w:rFonts w:ascii="Arial" w:hAnsi="Arial"/>
          <w:color w:val="000000"/>
          <w:sz w:val="32"/>
          <w:b/>
        </w:rPr>
        <w:t>Supplementary Data</w:t>
      </w:r>
    </w:p>
    <w:p>
      <w:pPr>
        <w:spacing w:line="276" w:lineRule="auto" w:after="80"/>
        <w:ind w:firstLine="0"/>
      </w:pPr>
      <w:r>
        <w:rPr>
          <w:rFonts w:ascii="Arial" w:hAnsi="Arial"/>
          <w:b w:val="0"/>
          <w:i w:val="0"/>
          <w:color w:val="000000"/>
          <w:sz w:val="22"/>
        </w:rPr>
        <w:t>Supplementary Data are available at NAR Online.</w:t>
      </w:r>
    </w:p>
    <w:p>
      <w:pPr>
        <w:pStyle w:val="Heading1"/>
        <w:spacing w:before="420" w:after="160"/>
      </w:pPr>
      <w:r>
        <w:rPr>
          <w:rFonts w:ascii="Arial" w:hAnsi="Arial"/>
          <w:color w:val="000000"/>
          <w:sz w:val="32"/>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32"/>
          <w:b/>
        </w:rPr>
        <w:t>Author contributions</w:t>
      </w:r>
    </w:p>
    <w:p>
      <w:pPr>
        <w:spacing w:line="276" w:lineRule="auto" w:after="80"/>
        <w:ind w:firstLine="0"/>
      </w:pPr>
      <w:r>
        <w:rPr>
          <w:rFonts w:ascii="Arial" w:hAnsi="Arial"/>
          <w:b w:val="0"/>
          <w:i w:val="0"/>
          <w:color w:val="000000"/>
          <w:sz w:val="22"/>
        </w:rPr>
        <w:t>L.Z. conceived the study, developed the CKI algorithm, performed all analyses, and wrote the manuscript. X.W. contributed to data analysis and manuscript revision. Both authors read and approved the final manuscript.</w:t>
      </w:r>
    </w:p>
    <w:p>
      <w:pPr>
        <w:pStyle w:val="Heading1"/>
        <w:spacing w:before="420" w:after="160"/>
      </w:pPr>
      <w:r>
        <w:rPr>
          <w:rFonts w:ascii="Arial" w:hAnsi="Arial"/>
          <w:color w:val="000000"/>
          <w:sz w:val="32"/>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420" w:after="160"/>
      </w:pPr>
      <w:r>
        <w:rPr>
          <w:rFonts w:ascii="Arial" w:hAnsi="Arial"/>
          <w:color w:val="000000"/>
          <w:sz w:val="32"/>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32"/>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constrained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complementary information. (D) Pathway enrichment in the k_f component, showing fold change (k_f/k_n) for top enriched pathways. Stars indicate significance: *** P &lt; 0.001, ** P &lt; 0.01, * P &lt; 0.05.</w:t>
      </w:r>
    </w:p>
    <w:p>
      <w:pPr>
        <w:spacing w:line="276" w:lineRule="auto" w:after="8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(baseline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420" w:after="160"/>
      </w:pPr>
      <w:r>
        <w:rPr>
          <w:rFonts w:ascii="Arial" w:hAnsi="Arial"/>
          <w:color w:val="000000"/>
          <w:sz w:val="32"/>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8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8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32"/>
          <w:b/>
        </w:rPr>
        <w:t>References</w:t>
      </w:r>
    </w:p>
    <w:p>
      <w:pPr>
        <w:spacing w:line="276" w:lineRule="auto" w:after="60"/>
      </w:pPr>
      <w:r>
        <w:rPr>
          <w:rFonts w:ascii="Arial" w:hAnsi="Arial"/>
          <w:color w:val="000000"/>
          <w:sz w:val="44"/>
        </w:rPr>
        <w:t>Regev,A., Teichmann,S.A., Lander,E.S., Amit,I., Benoist,C., Birney,E., Bodenmiller,B., Campbell,P., Carninci,P., Clatworthy,M. et al. (2017) The Human Cell Atlas. *eLife*, **6**, e27041.</w:t>
      </w:r>
    </w:p>
    <w:p>
      <w:pPr>
        <w:spacing w:line="276" w:lineRule="auto" w:after="60"/>
      </w:pPr>
      <w:r>
        <w:rPr>
          <w:rFonts w:ascii="Arial" w:hAnsi="Arial"/>
          <w:color w:val="000000"/>
          <w:sz w:val="44"/>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44"/>
        </w:rPr>
        <w:t>Lopez,R., Regier,J., Cole,M.B., Jordan,M.I. and Yosef,N. (2018) Deep generative modeling for single-cell transcriptomics. *Nat. Methods*, **15**, 1053–1058.</w:t>
      </w:r>
    </w:p>
    <w:p>
      <w:pPr>
        <w:spacing w:line="276" w:lineRule="auto" w:after="60"/>
      </w:pPr>
      <w:r>
        <w:rPr>
          <w:rFonts w:ascii="Arial" w:hAnsi="Arial"/>
          <w:color w:val="000000"/>
          <w:sz w:val="44"/>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44"/>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44"/>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44"/>
        </w:rPr>
        <w:t>Tabula Muris Consortium (2018) Single-cell transcriptomics of 20 mouse organs creates a Tabula Muris. *Nature*, **562**, 367–372.</w:t>
      </w:r>
    </w:p>
    <w:p>
      <w:pPr>
        <w:spacing w:line="276" w:lineRule="auto" w:after="60"/>
      </w:pPr>
      <w:r>
        <w:rPr>
          <w:rFonts w:ascii="Arial" w:hAnsi="Arial"/>
          <w:color w:val="000000"/>
          <w:sz w:val="44"/>
        </w:rPr>
        <w:t>Tabula Sapiens Consortium (2022) The Tabula Sapiens: a multiple-organ, single-cell transcriptomic atlas of humans. *Science*, **376**, eabl4896.</w:t>
      </w:r>
    </w:p>
    <w:p>
      <w:pPr>
        <w:spacing w:line="276" w:lineRule="auto" w:after="60"/>
      </w:pPr>
      <w:r>
        <w:rPr>
          <w:rFonts w:ascii="Arial" w:hAnsi="Arial"/>
          <w:color w:val="000000"/>
          <w:sz w:val="44"/>
        </w:rPr>
        <w:t>Cancer Genome Atlas Research Network (2014) Comprehensive molecular profiling of lung adenocarcinoma. *Nature*, **511**, 543–550.</w:t>
      </w:r>
    </w:p>
    <w:p>
      <w:pPr>
        <w:spacing w:line="276" w:lineRule="auto" w:after="60"/>
      </w:pPr>
      <w:r>
        <w:rPr>
          <w:rFonts w:ascii="Arial" w:hAnsi="Arial"/>
          <w:color w:val="000000"/>
          <w:sz w:val="44"/>
        </w:rPr>
        <w:t>Cancer Genome Atlas Network (2012) Comprehensive molecular portraits of human breast tumours. *Nature*, **490**, 61–70.</w:t>
      </w:r>
    </w:p>
    <w:p>
      <w:pPr>
        <w:spacing w:line="276" w:lineRule="auto" w:after="60"/>
      </w:pPr>
      <w:r>
        <w:rPr>
          <w:rFonts w:ascii="Arial" w:hAnsi="Arial"/>
          <w:color w:val="000000"/>
          <w:sz w:val="44"/>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44"/>
        </w:rPr>
        <w:t>Luecken,M.D. and Theis,F.J. (2019) Current best practices in single-cell RNA-seq analysis: a tutorial. *Mol. Syst. Biol.*, **15**, e8746.</w:t>
      </w:r>
    </w:p>
    <w:p>
      <w:pPr>
        <w:spacing w:line="276" w:lineRule="auto" w:after="60"/>
      </w:pPr>
      <w:r>
        <w:rPr>
          <w:rFonts w:ascii="Arial" w:hAnsi="Arial"/>
          <w:color w:val="000000"/>
          <w:sz w:val="44"/>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44"/>
        </w:rPr>
        <w:t>Wolf,F.A., Angerer,P. and Theis,F.J. (2018) SCANPY: large-scale single-cell gene expression data analysis. *Genome Biol.*, **19**, 15.</w:t>
      </w:r>
    </w:p>
    <w:p>
      <w:pPr>
        <w:spacing w:line="276" w:lineRule="auto" w:after="60"/>
      </w:pPr>
      <w:r>
        <w:rPr>
          <w:rFonts w:ascii="Arial" w:hAnsi="Arial"/>
          <w:color w:val="000000"/>
          <w:sz w:val="44"/>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44"/>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44"/>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44"/>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44"/>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44"/>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44"/>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44"/>
        </w:rPr>
        <w:t>Edmondson,H.A. and Steiner,P.E. (1954) Primary carcinoma of the liver: a study of 100 cases among 48,900 necropsies. *Cancer*, **7**, 462–503.</w:t>
      </w:r>
    </w:p>
    <w:p>
      <w:pPr>
        <w:spacing w:line="276" w:lineRule="auto" w:after="60"/>
      </w:pPr>
      <w:r>
        <w:rPr>
          <w:rFonts w:ascii="Arial" w:hAnsi="Arial"/>
          <w:color w:val="000000"/>
          <w:sz w:val="44"/>
        </w:rPr>
        <w:t>Storey,J.D. and Tibshirani,R. (2003) Statistical significance for genomewide studies. *Proc. Natl. Acad. Sci. USA*, **100**, 9440–9445.</w:t>
      </w:r>
    </w:p>
    <w:p>
      <w:pPr>
        <w:spacing w:line="276" w:lineRule="auto" w:after="60"/>
      </w:pPr>
      <w:r>
        <w:rPr>
          <w:rFonts w:ascii="Arial" w:hAnsi="Arial"/>
          <w:color w:val="000000"/>
          <w:sz w:val="44"/>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44"/>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44"/>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44"/>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44"/>
        </w:rPr>
        <w:t>Reeber,S.L., Arancillo,M. and Sillitoe,R.V. (2015) Bergmann glia are patterned into topographic molecular zones in the cerebellum. *Cerebellum*, **14**, 392–403.</w:t>
      </w:r>
    </w:p>
    <w:p>
      <w:pPr>
        <w:spacing w:line="276" w:lineRule="auto" w:after="60"/>
      </w:pPr>
      <w:r>
        <w:rPr>
          <w:rFonts w:ascii="Arial" w:hAnsi="Arial"/>
          <w:color w:val="000000"/>
          <w:sz w:val="44"/>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44"/>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44"/>
        </w:rPr>
        <w:t>Shemer,A. and Jung,S. (2024) The molecular determinants of microglial developmental colonization. *Nat. Rev. Neurosci.*, **25**, 414–427.</w:t>
      </w:r>
    </w:p>
    <w:p>
      <w:pPr>
        <w:spacing w:line="276" w:lineRule="auto" w:after="60"/>
      </w:pPr>
      <w:r>
        <w:rPr>
          <w:rFonts w:ascii="Arial" w:hAnsi="Arial"/>
          <w:color w:val="000000"/>
          <w:sz w:val="44"/>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44"/>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44"/>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44"/>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44"/>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44"/>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44"/>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44"/>
        </w:rPr>
        <w:t>Liberzon,A., Birger,C., Thorvaldsdóttir,H., Ghandi,M., Mesirov,J.P. and Tamayo,P. (2015) The Molecular Signatures Database Hallmark Gene Set Collection. *Cell Syst.*, **1**, 417–425.</w:t>
      </w:r>
    </w:p>
    <w:p>
      <w:pPr>
        <w:spacing w:line="276" w:lineRule="auto" w:after="60"/>
      </w:pPr>
      <w:r>
        <w:rPr>
          <w:rFonts w:ascii="Arial" w:hAnsi="Arial"/>
          <w:color w:val="000000"/>
          <w:sz w:val="44"/>
        </w:rPr>
        <w:t>Yang,Z. (2007) PAML 4: phylogenetic analysis by maximum likelihood. *Mol. Biol. Evol.*, **24**, 1586–1591.</w:t>
      </w:r>
    </w:p>
    <w:p>
      <w:pPr>
        <w:spacing w:line="276" w:lineRule="auto" w:after="60"/>
      </w:pPr>
      <w:r>
        <w:rPr>
          <w:rFonts w:ascii="Arial" w:hAnsi="Arial"/>
          <w:color w:val="000000"/>
          <w:sz w:val="44"/>
        </w:rPr>
        <w:t>Tan,Y.L., Yuan,Y. and Tian,L. (2020) Microglial regional heterogeneity and its role in the brain. *Mol. Psychiatry*, **25**, 351–367.</w:t>
      </w:r>
    </w:p>
    <w:p>
      <w:pPr>
        <w:spacing w:line="276" w:lineRule="auto" w:after="60"/>
      </w:pPr>
      <w:r>
        <w:rPr>
          <w:rFonts w:ascii="Arial" w:hAnsi="Arial"/>
          <w:color w:val="000000"/>
          <w:sz w:val="44"/>
        </w:rPr>
        <w:t>Lin,J. (1991) Divergence measures based on the Shannon entropy. *IEEE Trans. Inf. Theory*, **37**, 145–151.</w:t>
      </w:r>
    </w:p>
    <w:p>
      <w:pPr>
        <w:spacing w:line="276" w:lineRule="auto" w:after="60"/>
      </w:pPr>
      <w:r>
        <w:rPr>
          <w:rFonts w:ascii="Arial" w:hAnsi="Arial"/>
          <w:color w:val="000000"/>
          <w:sz w:val="44"/>
        </w:rPr>
        <w:t>Efron,B. and Tibshirani,R.J. (1994) An Introduction to the Bootstrap. Chapman and Hall/CRC, New York.</w:t>
      </w:r>
    </w:p>
    <w:p>
      <w:pPr>
        <w:spacing w:line="276" w:lineRule="auto" w:after="60"/>
      </w:pPr>
      <w:r>
        <w:rPr>
          <w:rFonts w:ascii="Arial" w:hAnsi="Arial"/>
          <w:color w:val="000000"/>
          <w:sz w:val="44"/>
        </w:rPr>
        <w:t>Bakken,T.E., Jorstad,N.L., Hu,Q., Lake,B.B., Tian,W., Kalmbach,B.E., Crow,M., Hodge,R.D., Krienen,F.M., Sorensen,S.A. et al. (2021) Comparative cellular analysis of motor cortex in human, marmoset and mouse. *Nature*, **598**, 111–119.</w:t>
      </w:r>
    </w:p>
    <w:p>
      <w:pPr>
        <w:spacing w:line="276" w:lineRule="auto" w:after="60"/>
      </w:pPr>
      <w:r>
        <w:rPr>
          <w:rFonts w:ascii="Arial" w:hAnsi="Arial"/>
          <w:color w:val="000000"/>
          <w:sz w:val="44"/>
        </w:rPr>
        <w:t>Pedregosa,F., Varoquaux,G., Gramfort,A., Michel,V., Thirion,B., Grisel,O., Blondel,M., Prettenhofer,P., Weiss,R., Dubourg,V. et al. (2011) Scikit-learn: machine learning in Python. *J. Mach. Learn. Res.*, **12**, 2825–2830.</w:t>
      </w:r>
    </w:p>
    <w:p>
      <w:pPr>
        <w:spacing w:line="276" w:lineRule="auto" w:after="60"/>
      </w:pPr>
      <w:r>
        <w:rPr>
          <w:rFonts w:ascii="Arial" w:hAnsi="Arial"/>
          <w:color w:val="000000"/>
          <w:sz w:val="44"/>
        </w:rPr>
        <w:t>Waskom,M.L. (2021) seaborn: statistical data visualization. *J. Open Source Softw.*, **6**, 3021.</w:t>
      </w:r>
    </w:p>
    <w:p>
      <w:pPr>
        <w:spacing w:line="276" w:lineRule="auto" w:after="60"/>
      </w:pPr>
      <w:r>
        <w:rPr>
          <w:rFonts w:ascii="Arial" w:hAnsi="Arial"/>
          <w:color w:val="000000"/>
          <w:sz w:val="44"/>
        </w:rPr>
        <w:t>Butte,A.J., Dzau,V.J. and Glueck,S.B. (2001) Further defining housekeeping, or maintenance, genes: focus on A compendium of gene expression in normal human tissues. *Physiol. Genomics*, **7**, 95-96.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