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Supplementary Tables</w:t>
      </w:r>
    </w:p>
    <w:p/>
    <w:p>
      <w:pPr>
        <w:jc w:val="left"/>
      </w:pPr>
      <w:r>
        <w:rPr>
          <w:rFonts w:ascii="Arial" w:hAnsi="Arial"/>
          <w:b/>
          <w:sz w:val="20"/>
        </w:rPr>
        <w:t>Table 1. Classification AUC of five metrics on Tabula Sapiens (99 cell types, 4,851 pairs).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Arial" w:hAnsi="Arial"/>
                <w:sz w:val="20"/>
              </w:rPr>
              <w:t>Metric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20"/>
              </w:rPr>
              <w:t>ROC-AUC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20"/>
              </w:rPr>
              <w:t>Cosine distance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20"/>
              </w:rPr>
              <w:t>0.887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20"/>
              </w:rPr>
              <w:t>Raw JS divergence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20"/>
              </w:rPr>
              <w:t>0.836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20"/>
              </w:rPr>
              <w:t>Marker Jaccard distance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20"/>
              </w:rPr>
              <w:t>0.801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20"/>
              </w:rPr>
              <w:t>Spearman distance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20"/>
              </w:rPr>
              <w:t>0.690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20"/>
              </w:rPr>
              <w:t>CKI omega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20"/>
              </w:rPr>
              <w:t>0.716</w:t>
            </w:r>
          </w:p>
        </w:tc>
      </w:tr>
    </w:tbl>
    <w:p/>
    <w:p>
      <w:pPr>
        <w:jc w:val="left"/>
      </w:pPr>
      <w:r>
        <w:rPr>
          <w:rFonts w:ascii="Arial" w:hAnsi="Arial"/>
          <w:b/>
          <w:sz w:val="20"/>
        </w:rPr>
        <w:t>Table 2. Cross-organ conservation ranking by cell type (Tabula Sapiens, n=59 same-cell-type cross-organ pairs).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Cell type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Mean ω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SD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n pairs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B cell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2.70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Neutrophil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2.72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1.22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6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Smooth muscle cell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6.29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Plasma cell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6.61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3.42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6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Erythrocyte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6.90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6.31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3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CD8+ T cell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8.26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3.73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6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Intermediate monocyte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8.63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Hepatocyte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8.77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NK cell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9.47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3.41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10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Hematopoietic stem cell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9.66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Macrophage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9.84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6.31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15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CD4+ T cell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10.56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Classical monocyte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11.64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Monocyte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11.80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Naive B cell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12.36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Endothelial cell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15.09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6.46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3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Memory B cell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16.83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