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baseline behavior for equivalent populations (mean ω = 1.54, all P &gt; 0.05). CKI ω was negatively correlated with all standard distance metrics (Spearman r = −0.38 to −0.57, all P &lt; 0.001), indicating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(1), scVI (2), and SATURN (3) have been developed specifically to remove such nuisance variation. But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We realized that this question mirrors a problem addressed in molecular evolution. When comparing two DNA sequences, the Ka/Ks ratio (also called dN/dS) distinguishes nonsynonymous changes (Ka, which alter the protein) from synonymous changes (Ks, which are largely silent).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close to 1 (baseline behavior). Second, we extended CKI to Tabula Sapiens human data (6) and found that CKI ω is negatively correlated with all four standard distance metrics, demonstrating that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500 for the mouse pilot study of 15 cell-type pairs and 6 calibration controls), recompute pseudobulk vectors, and calculate ω_null for each permutation. Empirical P-values based on absolute deviation from ω = 1 are computed as: P = (count(|ω_null − 1| ≥ |ω_obs − 1|) + 1)/(B + 1), where the +1 pseudocount avoids P = 0. Standardized effect size = (ω_obs − mean(ω_null)) / sd(ω_null). Bootstrap permutation testing was performed only for the mouse pilot study; human (Tabula Sapiens), TCGA, and brain atlas analyses used non-parametric statistical tests (Spearman correlation, Mann-Whitney U, Kruskal-Wallis, Jonckheere-Terpstra) and descriptive statistics (median, IQR, effect sizes) without bootstrap permutation testing, given the large number of pairwise comparisons in these datasets.</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102 cell-type entries across 6 organs. Human HK genes: auto-detected (combined detection-rate/CV criterion), with optional enhancement from 1,130 HRT Atlas v1.0 genes mapped by gene symbol.</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log2(TPM + 0.001)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Pseudobulk vectors were computed as the mean of raw counts per group, then normalized using Scanpy normalize_total (target_sum = 10,000) followed by log1p transformation at the pseudobulk level.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All P-values are two-sided unless otherwise specified. Bootstrap permutation testing was performed only for the mouse pilot study (15 cell-type pairs, B = 500) and calibration controls (n = 6); empirical P-values use the +1 pseudocount formula: P = (count(|ω_null − 1| ≥ |ω_obs − 1|) + 1)/(B + 1). All reported P-values are raw empirical P-values without multiple testing correction. For human (Tabula Sapiens), TCGA, and brain atlas analyses, non-parametric statistical tests (Spearman correlation, Mann-Whitney U, Kruskal-Wallis, Jonckheere-Terpstra) and descriptive statistics (median, IQR, effect sizes) are reported without bootstrap permutation testing. Effect sizes are reported as Cohen's d; d &gt; 0.8 indicates a large effect.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500, mouse pilot study only). Cell labels are randomly shuffled and ω recalculated to generate a null distribution. The empirical P-value is P = (count(|ω_null − 1| ≥ |ω_obs − 1|) + 1)/(B + 1), and effect size is reported as Cohen's d. All reported P-values are raw empirical P-values without multiple testing correction. For the larger-scale analyses (Tabula Sapiens, TCGA, brain atlas), non-parametric statistical tests and descriptive statistics (median, IQR, effect sizes) are reported without bootstrap permutation testing.</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1.54 (median 1.42, range 1.09–2.10), and none of the six comparisons reached statistical significance (all P &gt; 0.05, two-sided bootstrap test). This confirms that CKI recognizes biologically equivalent cell populations as having no functional divergence. We note that while these results are consistent with baseline behavior, formal equivalence testing (e.g., two one-sided tests, TOST) with a larger calibration sample would provide stronger statistical evidence for equivalence; the current sample size (n = 6) limits the power of such tests.</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102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auto-detected (combined criterion, with optional HRT Atlas enhancement) (Fig. 3).</w:t>
      </w:r>
    </w:p>
    <w:p>
      <w:pPr>
        <w:spacing w:line="276" w:lineRule="auto" w:after="60"/>
        <w:ind w:firstLine="0"/>
      </w:pPr>
      <w:r>
        <w:rPr>
          <w:rFonts w:ascii="Arial" w:hAnsi="Arial"/>
          <w:b w:val="0"/>
          <w:i w:val="0"/>
          <w:color w:val="000000"/>
          <w:sz w:val="22"/>
        </w:rPr>
        <w:t>Human ω values ranged from 1.10 to 58.69 (mean 14.23, median 13.81, n = 5,151 pairs), substantively higher than mouse (mean 7.07). This difference likely reflects both the larger number of cell types (102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(102 cell types, 5,151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This convergence toward shared transcriptional states may represent common vulnerabilities across genetically diverse tumors.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5,151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(32). We note that several cell types (particularly those with n = 1 or 3) have small sample sizes, and their rankings should be interpreted with appropriate caution.</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108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putative inter-regional migration events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By cell type, the Strong candidate counts reflect a combination of regional adjacency, shared developmental origins, and ongoing cellular interchange.</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strikingly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yet contributed 6 Strong signals, all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despite the prevailing view that adult microglia are maintained by local self-renewal with minimal inter-regional migration (23). We interpret these signals as developmental colonization residuals—transcriptomic boundaries between microglial populations that entered the brain through distinct embryonic entry routes. Shemer and Jung (37)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Menassa et al. (20) confirmed this spatiotemporal gradient in human fetal brain, showing that microglial density peaks in the cortical subplate at mid-gestation before declining as cells redistribute. Barry-Carroll et al. (40)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functional divergence detectable only as modest deviations from the global vascular ω baseline.</w:t>
      </w:r>
    </w:p>
    <w:p>
      <w:pPr>
        <w:pStyle w:val="Heading3"/>
        <w:spacing w:before="240" w:after="120"/>
      </w:pPr>
      <w:r>
        <w:rPr>
          <w:rFonts w:ascii="Arial" w:hAnsi="Arial"/>
          <w:color w:val="000000"/>
          <w:sz w:val="24"/>
          <w:b/>
        </w:rPr>
        <w:t>Fibroblast: the sole postnatal migration signal</w:t>
      </w:r>
    </w:p>
    <w:p>
      <w:pPr>
        <w:spacing w:line="276" w:lineRule="auto" w:after="60"/>
        <w:ind w:firstLine="0"/>
      </w:pPr>
      <w:r>
        <w:rPr>
          <w:rFonts w:ascii="Arial" w:hAnsi="Arial"/>
          <w:b w:val="0"/>
          <w:i w:val="0"/>
          <w:color w:val="000000"/>
          <w:sz w:val="22"/>
        </w:rPr>
        <w:t>Perivascular fibroblasts contributed 1 Strong signal (A40 vs. SN, residual = 0.299)—the only Strong candidate among all 30 that can be parsimoniously attributed to postnatal cell migration.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rather, it is an empirically calibrated operational baseline (mean observational ω = 1.54 for equivalent populations). We use ω &lt; 1, ω ≈ 1, and ω &gt; 1 as convenient operational thresholds for functional constraint, baseline-level divergence,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indicates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whereas HK genes are defined empirically by data-driven criteria and may be subject to stabilizing selection on expression levels—a possibility we acknowledge and partly address through sensitivity analysis showing robustness to alternative HK definitions (r &gt; 0.95). Third, CKI currently lacks a formal phylogenetic framework analogous to Ornstein-Uhlenbeck models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reflect four distinct biological mechanisms: (i) developmental origin heterogeneity—oligodendrocyte dorsal/ventral origin differences (35) explain all 10 oligodendrocyte Strong signals as cortex vs. thalamus/brainstem boundaries; (ii) embryonic colonization route discontinuities—microglial rostral-to-caudal colonization waves (20,37,40) create transcriptomic boundaries at the forebrain-midbrain interface, with the inferior colliculus identified as a candidate contact zone; and (iii) compartmentalized developmental astrogenesis and vascular specification (18,39); and (iv) postnatal cell migration—the perivascular fibroblast A40-SN signal is consistent with known postnatal meningeal-to-parenchymal fibroblast migration (38). Importantly, OPCs—the most actively migrating cells in the adult CNS (13,17)—yielded 0 Strong signals among 5,671 comparisons, providing a powerful orthogonal validation that the residual model specifically detects fixed developmental signatures rather than ongoing cell motility. Together, these results demonstrate that CKI detects persistent transcriptional signatures of developmental history—origin, colonization route, specification, and in one case, postnatal migration—embedded in adult transcriptomic data. This reframing opens new applications for adult single-cell atlases as archives of developmental information.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data-driven auto-detection (combined detection-rate and CV filtering) as the universal default, with optional HRT Atlas enhancement (4) for human and mouse. Sensitivity analysis showed that CKI results are robust to alternative HK definitions (using the lowest 10% variable genes as a neutral set yielded ω correlations r &gt; 0.95). Third, the use of highly variable genes (HVGs) for k_f could introduce selection bias: by pre-selecting genes that vary across cell types, k_f may be inflated relative to a random gene set. However, the calibration controls (random split of the same population, mean ω = 1.54) demonstrate that HVG selection alone does not inflate ω—when two populations are biologically equivalent, k_f and k_n are comparably small, yielding ω ≈ 1. This null simulation confirms that ω &gt; 1 arises from genuine biological signal, not from the gene selection procedure. Fourth, TCGA analysis was limited to bulk RNA-seq resolution; single-cell or spatial transcriptomic data would enable finer perturbation quantification. Fifth, the brain analysis uses post-mortem tissue; developmental time courses would provide stronger evidence for migration inference.</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500 permutations, mouse pilot)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5,151 Tabula Sapiens pairs. CKI ω is negatively correlated with all four standard metrics. Standard metrics form a positive cluster. (B) Scatter plot of CKI ω vs. k_n (neutral rate) on Tabula Sapiens data (n = 5,151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38 shared cell types between human and mouse.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5,151 pairs).</w:t>
      </w:r>
    </w:p>
    <w:p>
      <w:pPr>
        <w:spacing w:line="276" w:lineRule="auto" w:after="60"/>
        <w:ind w:firstLine="0"/>
      </w:pPr>
      <w:r>
        <w:rPr>
          <w:rFonts w:ascii="Arial" w:hAnsi="Arial"/>
          <w:b w:val="0"/>
          <w:i w:val="0"/>
          <w:color w:val="000000"/>
          <w:sz w:val="22"/>
        </w:rPr>
        <w:t>Supplementary Figure S3. TCGA per-cancer matrices. Pairwise ω matrices for six cancer types (BRCA, KIRC, LIHC, LUAD, COAD, HNSC)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showing no significant correlation, ruling out sampling bias. (D) Region-region ω matrix for astrocytes across brain regions, with hierarchical clustering. (E) Top migration candidates by tier (Strong, Moderate, Weak), ranked by multiplicative residual.</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DO (developmental origin), CR (colonization route), DS (developmental specification), or PM (postnatal migration). (D) Migration candidates by cell type and confidence tier, showing tier distribution across all 10 non-neuronal cell classes.</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