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Transcriptomic Remodeling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the base-2 logarithm, the JS divergence is bounded in [0, 1]. This bound is important for interpreting omega: when both k_n and k_f approach 1, omega = k_f/k_n may still vary, and in practice omega is capped at 1,000. Before CKI computation, expression vectors are normalized to probability distributions via softmax normalization (p_i = exp(x_i)/Σexp(x_j)).</w:t>
      </w:r>
    </w:p>
    <w:p>
      <w:r>
        <w:rPr>
          <w:rFonts w:ascii="Arial" w:hAnsi="Arial"/>
          <w:b/>
          <w:color w:val="000000"/>
          <w:sz w:val="22"/>
        </w:rPr>
        <w:t>1.2 Baseline Divergence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baseline divergence rate is: k_n = JS(norm(μ_A[H]), norm(μ_B[H])), where norm() denotes softmax normalization. Rationale: HK genes should not exhibit systematic differences between biologically identical cell populations. The JS divergence observed on HK genes therefore reflects baseline noise: technical variation, stochastic transcriptional bursting, and individual-level physiological differences. k_n thus provides an internal baseline, heuristically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Divergence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divergence rate is: k_f = JS(norm(μ_A[I]), norm(μ_B[I])).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B=500 for the mouse pilot study), recomputing pseudobulk vectors and omega_null each time; (3) Empirical P-value based on absolute deviation from ω = 1: P = (count(|ω_null − 1| ≥ |ω_obs − 1|) + 1)/(B + 1), with the +1 term avoiding P = 0; (4) Effect size: Cohen's d = (omega_obs - mean(omega_null))/sd(omega_null). Note: Benjamini-Hochberg FDR correction is NOT systematically applied in the current analyses; all reported P-values are raw empirical P-values. Test critical values at alpha=0.05 are derived from the permutation null distribution (2.5th and 97.5th percentiles). Note: these are permutation-based test critical values for rejecting H0, NOT confidence intervals for omega itself. Bootstrap permutation testing was performed only for the mouse pilot study (15 cell-type pairs, B=500); human, TCGA, and brain atlas analyses used non-parametric statistical tests (Spearman correlation, Mann-Whitney U, Kruskal-Wallis, Jonckheere-Terpstra) and descriptive statistics without bootstrap permutation testing.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UCSC Xena, followed by log2(TPM + 0.001)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JS_divergence(norm(mu_A_H), norm(mu_B_H))  // auto-detected normalization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JS_divergence(norm(mu_A_I), norm(mu_B_I))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(count(|omega_null - 1| &gt;= |omega_obs - 1|) + 1) / (B + 1)  // absolute-deviation +1 pseudocount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102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(B=500, mouse pilot only)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B=500 for the mouse pilot study (15 cell-type pairs). Bootstrap was not performed for human (Tabula Sapiens), TCGA, or brain atlas analyses, which used non-parametric statistical tests and descriptive statistics without bootstrap permutation testing. For the calibration experiment, empirical P-values are computed as: P = (count(|ω_null − 1| ≥ |ω_obs − 1|) + 1)/(B + 1). Standardized effect size = (ω_obs - mean(ω_null)) / sd(ω_null). In all CKI results, standardized effect sizes are typically &gt; 1.0 for biologically meaningful comparisons, indicating large effects relative to the null distribution.</w:t>
      </w:r>
    </w:p>
    <w:p>
      <w:r>
        <w:rPr>
          <w:rFonts w:ascii="Arial" w:hAnsi="Arial"/>
          <w:b/>
          <w:color w:val="000000"/>
          <w:sz w:val="22"/>
        </w:rPr>
        <w:t>3.3 Multiple Testing Correction</w:t>
      </w:r>
    </w:p>
    <w:p>
      <w:r>
        <w:rPr>
          <w:rFonts w:ascii="Arial" w:hAnsi="Arial"/>
          <w:b w:val="0"/>
          <w:color w:val="000000"/>
          <w:sz w:val="22"/>
        </w:rPr>
        <w:t>Bootstrap permutation testing was performed only for the mouse pilot study (15 cell-type pairs, B=500) and the calibration experiment (n = 6 control pairs). For the larger-scale analyses (Tabula Sapiens: 5,151 pairs; brain atlas: 31,764 pairs; TCGA pan-cancer), non-parametric statistical tests and descriptive statistics (median, IQR, effect sizes) are reported without bootstrap permutation testing. The calibration experiment reports raw bootstrap P-values due to the small number of comparisons. For TCGA stratified analyses (BRCA PAM50, LIHC Edmondson) involving 4-5 groups, omnibus tests (Kruskal-Wallis, Jonckheere-Terpstra) are used. Effect sizes are reported alongside all significance statements to distinguish statistical significance from biological magnitude.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from non-bootstrap tests are two-sided; bootstrap permutation P-values test absolute deviation from ω = 1 (see SN 1.5).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500 detected genes were removed; cells with &gt; 20% mitochondrial gene expression were removed. Result: 108,136 cells retained (6 h5ad files total), with 51,852 genes (filtered from the original 58,870). Cell type entries: 102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1,130 genes from HRT Atlas v1.0, mapped via gene symbol.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(495 tumor + 76 normal), LUSC (567 + 58), LIHC (365 + 57), KIRC (755 + 82), BRCA (1,032 + 109), totaling n = 3,596 samples. Normalization: TPM values from UCSC Xena, followed by log2(TPM + 0.001)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102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notebooks/30_nar_figures_fixed_v2.py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notebooks/30_nar_figures_fixed_v2.py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