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baseline behavior for equivalent populations (mean ω = 6.67, all P &gt; 0.05).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We realized that this question mirrors a problem addressed in molecular evolution. When comparing two DNA sequences, the Ka/Ks ratio (also called dN/dS) distinguishes nonsynonymous changes (Ka, which alter the protein) from synonymous changes (Ks, which are largely silent).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close to 1 (baseline behavior). Second, we extended CKI to Tabula Sapiens human data (6) and found that CKI ω is negatively correlated with all four standard distance metrics, demonstrating that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based on absolute deviation from ω = 1 are computed as: P = (count(|ω_null − 1| ≥ |ω_obs − 1|) + 1)/(B + 1), where the +1 pseudocount avoids P = 0.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All P-values are two-sided unless otherwise specified. Bootstrap permutation testing was performed for all four datasets with B = 1,000: mouse pilot (15 cell-type pairs, 6 calibration controls), human Tabula Sapiens, TCGA, and brain atlas. Empirical P-values use the +1 pseudocount formula: P = (count(|ω_null − 1| ≥ |ω_obs − 1|) + 1)/(B + 1). Benjamini-Hochberg FDR correction is applied within each dataset to control the false discovery rate. The P-value is anchored at the theoretical null of ω = 1 (k_f = k_n, i.e., zero functional divergence), which represents the formal null hypothesis that the two populations are functionally identical. The empirical calibration mean of ω = 1.54 for split-half equivalent populations reflects residual measurement noise and minor stochastic variation in the pseudobulk procedure, not a shift in the null hypothesis; using 1.54 as the anchor would conflate technical noise with the biological null.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− 1| ≥ |ω_obs − 1|)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two-sided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higher than mouse (mean 27.31). This difference likely reflects both the larger number of cell types (102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functional divergence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276" w:lineRule="auto" w:after="60"/>
        <w:ind w:firstLine="0"/>
      </w:pPr>
      <w:r>
        <w:rPr>
          <w:rFonts w:ascii="Arial" w:hAnsi="Arial"/>
          <w:b w:val="0"/>
          <w:i w:val="0"/>
          <w:color w:val="000000"/>
          <w:sz w:val="22"/>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rather, it is an empirically calibrated operational baseline (mean observational ω = 1.54 for equivalent populations). We use ω &lt; 1, ω ≈ 1, and ω &gt; 1 as convenient operational thresholds for functional constraint, baseline-level divergence,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whereas HK genes are defined empirically by data-driven criteria and may be subject to stabilizing selection on expression levels—a possibility we acknowledge and partly address through sensitivity analysis showing robustness to alternative HK definitions (r &gt; 0.95).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reflect four distinct biological mechanisms: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and (iv) postnatal cell migration—the perivascular fibroblast A40-SN signal is consistent with known postnatal meningeal-to-parenchymal fibroblast migration (38). Importantly, OPCs—the most actively migrating cells in the adult CNS (13,17)—yielded 0 Strong signals among 5,671 comparisons, providing a powerful orthogonal validation that the residual model specifically detects fixed developmental signatures rather than ongoing cell motility. Together, these results demonstrate that CKI detects persistent transcriptional signatures of developmental history—origin, colonization route, specification, and in one case, postnatal migration—embedded in adult transcriptomic data. This reframing opens new applications for adult single-cell atlases as archives of developmental information.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could introduce selection bias: by pre-selecting genes that vary across cell types, k_f may be inflated relative to a random gene set. However, the calibration controls (random split of the same population, mean ω = 1.54) demonstrate that HVG selection alone does not inflate ω—when two populations are biologically equivalent, k_f and k_n are comparably small, yielding ω ≈ 1. This null simulation confirms that ω &gt; 1 arises from genuine biological signal, not from the gene selection procedure. Fourth, TCGA analysis was limited to bulk RNA-seq resolution; single-cell or spatial transcriptomic data would enable finer perturbation quantification. Fifth, the brain analysis uses post-mortem tissue; developmental time courses would provide stronger evidence for migration inference. Sixth, the 31,764 brain cross-region comparisons yielded 30 Strong candidates without formal multiple testing correction; at a nominal alpha = 0.05, approximately 1,588 false positives would be expected among 31,764 tests, meaning the 30 Strong candidates should be interpreted as hypothesis-generating signals requiring independent validation rather than definitive discoveries. The systematic concordance with known developmental biology provides post hoc biological plausibility, but formal FDR-controlled discovery would require larger cohorts and pre-registered hypotheses.</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