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/>
        <w:jc w:val="center"/>
      </w:pPr>
      <w:r>
        <w:rPr>
          <w:rFonts w:ascii="Arial" w:cs="Arial" w:eastAsia="Arial" w:hAnsi="Arial"/>
          <w:b/>
          <w:bCs/>
          <w:color w:val="000000"/>
          <w:sz w:val="36"/>
          <w:szCs w:val="36"/>
        </w:rPr>
        <w:t xml:space="preserve">Supplementary Methods:
CKI Computational Reproducibility Guide</w:t>
      </w:r>
    </w:p>
    <w:p>
      <w:pPr>
        <w:jc w:val="center"/>
      </w:pPr>
      <w:r>
        <w:rPr>
          <w:rFonts w:ascii="Arial" w:cs="Arial" w:eastAsia="Arial" w:hAnsi="Arial"/>
          <w:i/>
          <w:iCs/>
          <w:color w:val="000000"/>
          <w:sz w:val="20"/>
          <w:szCs w:val="20"/>
        </w:rPr>
        <w:t xml:space="preserve">Li Zhang</w:t>
      </w:r>
      <w:r>
        <w:rPr>
          <w:rFonts w:ascii="Arial" w:cs="Arial" w:eastAsia="Arial" w:hAnsi="Arial"/>
          <w:color w:val="000000"/>
          <w:sz w:val="18"/>
          <w:szCs w:val="18"/>
          <w:vertAlign w:val="superscript"/>
        </w:rPr>
        <w:t xml:space="preserve">1,2,*</w:t>
      </w:r>
    </w:p>
    <w:p>
      <w:pPr>
        <w:spacing w:after="20"/>
        <w:jc w:val="center"/>
      </w:pPr>
      <w:r>
        <w:rPr>
          <w:rFonts w:ascii="Arial" w:cs="Arial" w:eastAsia="Arial" w:hAnsi="Arial"/>
          <w:color w:val="000000"/>
          <w:sz w:val="18"/>
          <w:szCs w:val="18"/>
          <w:vertAlign w:val="superscript"/>
        </w:rPr>
        <w:t xml:space="preserve">1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Institute of Blood Transfusion, Chinese Academy of Medical Sciences &amp; Peking Union Medical College, Chengdu, China</w:t>
      </w:r>
    </w:p>
    <w:p>
      <w:pPr>
        <w:spacing w:after="20"/>
        <w:jc w:val="center"/>
      </w:pPr>
      <w:r>
        <w:rPr>
          <w:rFonts w:ascii="Arial" w:cs="Arial" w:eastAsia="Arial" w:hAnsi="Arial"/>
          <w:color w:val="000000"/>
          <w:sz w:val="18"/>
          <w:szCs w:val="18"/>
          <w:vertAlign w:val="superscript"/>
        </w:rPr>
        <w:t xml:space="preserve">2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Chinese Institute for Brain Research, Beijing, China</w:t>
      </w:r>
    </w:p>
    <w:p>
      <w:pPr>
        <w:spacing w:after="300"/>
        <w:jc w:val="center"/>
      </w:pPr>
      <w:r>
        <w:rPr>
          <w:rFonts w:ascii="Arial" w:cs="Arial" w:eastAsia="Arial" w:hAnsi="Arial"/>
          <w:i/>
          <w:iCs/>
          <w:color w:val="000000"/>
          <w:sz w:val="20"/>
          <w:szCs w:val="20"/>
        </w:rPr>
        <w:t xml:space="preserve">* Correspondence: knightz@pumc.edu.cn</w:t>
      </w:r>
    </w:p>
    <w:p>
      <w:pPr>
        <w:pStyle w:val="Heading2"/>
        <w:spacing w:after="120" w:before="18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1. Software Environment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1.1 Python and Core Packages (verified environment)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Python:              3.13.12  (MSC v.1944 64 bit, AMD64)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numpy:               2.4.6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scipy:               1.17.1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pandas:              2.3.3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matplotlib:          3.10.9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scikit-learn:        1.8.0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python-docx:         1.2.0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1.2 CKI Package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Version: 0.3.1 (editable install from project root)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Repository: https://github.com/zhanglknt/CKI-cell-type-identification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Install: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cd &lt;project_root&gt;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pip install -e .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1.3 System Requirements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Operating system:    Windows 10/11 x64 (also tested Linux x86_64)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Memory:              &gt;= 32 GB RAM (TCGA matrix ~10 GB peak)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Disk space:          &gt;= 5 GB (for TPM data and intermediates)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Network:             Internet for data downloads and cBioPortal API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1.4 Data Dependencies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The cloned repository includes the HRT Atlas reference file at cki/data/hrt_atlas.csv (1,130 HK genes; available as optional enhancement via use_reference=True). External data downloads required (detailed in each analysis section):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TCGA TPM:     https://toil-xena-hub.s3.us-east-1.amazonaws.com/download/tcga_RSEM_gene_tpm.gz (~3.2 GB)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TCGA probeMap: https://toil-xena-hub.s3.us-east-1.amazonaws.com/download/probeMap%2Fhugo_gencode_good_hg38_v22comp12%2Fgencode.v22.annotation.genes.probeMap (~1.5 MB)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LIHC clinical: cBioPortal API (lihc_tcga) - bundled in data/tcga/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LUAD mutations: cBioPortal API (luad_tcga) - bundled in data/tcga/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BRCA PAM50:    cBioPortal API (brca_tcga_pub) - fetched live by script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All analyses use random seed 42 throughout.</w:t>
      </w:r>
    </w:p>
    <w:p>
      <w:pPr>
        <w:pStyle w:val="Heading2"/>
        <w:spacing w:after="120" w:before="18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2. CKI Algorithm Definition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CKI decomposes transcriptomic divergence into two components: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omega = k_f / k_n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where: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k_n  = JS(p_HK_A || p_HK_B)       ... baseline divergence rate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k_f  = JS(p_ID_A || p_ID_B)       ... functional divergence rate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and JS(P || Q) is the Jensen-Shannon divergence (base-2 logarithm, range [0, 1]):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M        = 0.5 * (P + Q)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JS(P||Q) = 0.5 * KL(P||M) + 0.5 * KL(Q||M)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where KL(P||M) = sum_i [ P_i * log2(P_i / M_i) ]  for P_i &gt; 0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Both k_n and k_f use the same computational pipeline: (1) subset the pseudobulk expression vector to the relevant gene indices; (2) apply softmax normalization to convert expression values into a probability distribution:  p_i = exp(x_i) / sum_j exp(x_j); (3) compute JS divergence between the two resulting distributions. This internal consistency (same metric, same normalization, same underlying expression space) ensures omega is self-calibrated.</w:t>
      </w:r>
    </w:p>
    <w:p>
      <w:pPr>
        <w:pStyle w:val="Heading2"/>
        <w:spacing w:after="120" w:before="18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3. Gene Set Selection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3.1 Housekeeping Genes (for k_n)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In all reported analyses, housekeeping (HK) genes were loaded from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the HRT Atlas v1.0 reference (Hounkpe et al., NAR 2021) via the file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data/housekeeping/Human_Mouse_Common.csv (1,130 human-mouse conserved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HK genes; identical to cki/data/hrt_atlas.csv).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For each dataset, HK genes were loaded as follows: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Tabula Muris (mouse):   HRT Atlas mouse genes (column 0),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Tabula Sapiens (human): HRT Atlas human genes (column 1),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TCGA (human):           HRT Atlas human genes (column 1),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Siletti Brain (human):  HRT Atlas human genes (column 1).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The CKI package also supports data-driven auto-detection via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detect_housekeeping_genes() (detection rate &gt; 0.9, CV &lt; 30th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percentile, "combined" method; use_reference=False by default),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but this was NOT used in the reported analyses.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3.2 Identity Genes (for k_f)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Identity (functional) genes are defined as: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Default (CKI): top-2,000 highly variable genes (HVGs; Scanpy seurat flavor), with HK genes explicitly excluded to maintain k_n/k_f independence (adapted to min(2000, 0.8 * n_total_genes)).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Hybrid mode: global k_n computed once with shared HK gene set; per-pair k_f uses the top-200 differentially expressed genes (ranked by |mean_diff| between the two groups), excluding HK genes.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The default mode (global HVG 2,000) is used for Tabula Muris (mouse). The hybrid mode is used for Tabula Sapiens (human), TCGA, and brain atlas analyses to give each cell-type pair the most informative identity genes while keeping all pairs on a common k_n scale. The parameter sweep (Supplementary Figure 1) confirmed that the identity-only configuration (w1 = 1.0, w2 = 0.0) achieves the best cell-type discrimination without external pathway databases.</w:t>
      </w:r>
    </w:p>
    <w:p>
      <w:pPr>
        <w:pStyle w:val="Heading2"/>
        <w:spacing w:after="120" w:before="18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4. Data Sources &amp; Preprocessing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4.1 Tabula Muris (Mouse) — Result 2 (Fig. 2)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Dataset:    Tabula Muris FACS (Schaum et al., Nature 2018)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Source:     https://github.com/czbiohub-sf/tabula-muris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Technology: SmartSeq2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Data used:  15,057 cells, 22,308 genes, 6 organs (Liver, Kidney, Spleen, Lung, Heart, Marrow)</w:t>
      </w:r>
    </w:p>
    <w:p>
      <w:pPr>
        <w:spacing w:after="60" w:line="2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Processing: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1. Load per-tissue count matrices (FACS/tissue-counts.csv).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2. Intersect to common gene set across all tissues.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3. Normalize: sc.pp.normalize_total(target_sum=1e4), then log1p.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4. Pseudobulk: mean expression per cell-type annotation.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5. Filter: cell types with &lt; 10 cells excluded.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6. Compute global k_n on all cell-type pseudobulks (shared HK set).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7. Compute per-pair k_f with global HVG set (2,000 genes, HK excluded).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8. Bootstrap: n = 1,000 permutations, absolute-deviation test.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Controls: Six random-split comparisons (same cell population divided into two halves) tested neutral behavior (omega ~ 1).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Total pairs: 703 cell-type pairs across 6 organs.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4.2 Tabula Sapiens (Human) — Result 3 (Fig. 3)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Dataset:    Tabula Sapiens (Jones et al., Science 2022)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Source:     https://github.com/czbiohub-sf/tabula-sapiens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Technology: 10x Genomics (3′ and 5′ assays)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Data used:  108,136 cells (6 h5ad files total), 102 cell-type entries, 6 organs (Liver, Kidney, Heart, Bone Marrow, Spleen, Lung)</w:t>
      </w:r>
    </w:p>
    <w:p>
      <w:pPr>
        <w:spacing w:after="60" w:line="2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Processing: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1. Load per-organ h5ad files (TS_{Organ}.h5ad; e.g., TS_Liver.h5ad, TS_Kidney.h5ad, etc.).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2. Intersect to common gene set across all 6 organs.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3. Within each organ: filter cells with &lt; 500 genes, then normalize: sc.pp.normalize_total(target_sum=1e4), log1p.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4. Pseudobulk: mean expression per cell_type_ontology_term_id.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5. Global k_n: JS divergence on full pseudobulk matrix with shared HK set.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6. Per-pair k_f: top-200 DE genes (ranked by absolute mean difference), HK genes excluded.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7. Full pairwise omega computed for all 5,151 cell-type pairs.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Method comparison: Spearman rank correlation computed between CKI omega and four standard metrics on 4,851 pairs (a subset of the 5,151 full pairwise omega matrix; 300 pairs were excluded because they lacked shared HK genes or had insufficient marker overlap for metric computation): raw JS divergence (all genes), Spearman distance (1 - Spearman r), cosine distance (1 - cosine similarity), marker Jaccard distance (1 - intersection/union of top-200 marker genes per cell type). Classification AUC from cell-type pair classification task (same-type vs. different-type) computed with sklearn.metrics.roc_auc_score.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4.3 TCGA (Human Cancer) — Result 4 (Fig. 4)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Dataset:    TCGA Pan-Cancer (Hutter &amp; Zenklusen, Cell 2018; Liu et al., Cell 2018)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Source:     UCSC Xena (https://xenabrowser.net/), file: tcga_RSEM_gene_tpm.gz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Data used:  3,596 samples (from 10,535 raw TCGA samples after filtering) across 5 cancer types: LUAD, LUSC, LIHC, KIRC, BRCA</w:t>
      </w:r>
    </w:p>
    <w:p>
      <w:pPr>
        <w:spacing w:after="60" w:line="2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Processing: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1. Filter: gene-level mean expression &gt; 1 TPM within each cancer type (per-cancer independent filtering).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2. log2(TPM + 0.001) transformation.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3. Pseudobulk: mean expression per sample.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4. Sample pairs drawn from: tumor-tumor (TT), normal-normal (NN), tumor-normal (TN). Maximum 2,000 random TT and TN pairs each.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5. Global k_n computed once per cancer type using shared HK genes.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6. Per-pair k_f with top-200 DE genes (ranked by |mean_diff|).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7. NN/TT ratio computed as mean(omega_NN) / mean(omega_TT) per cancer type.</w:t>
      </w:r>
    </w:p>
    <w:p>
      <w:pPr>
        <w:spacing w:after="60" w:line="2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Clinical stratification: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LIHC Edmondson grade: G1 (n=39), G2 (n=133), G3 (n=105), G4 (n=11). Jonckheere-Terpstra trend test.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BRCA PAM50 subtype: Basal-like (n=97), HER2 (n=55), LumA (n=224), LumB (n=123), Normal-like (n=7). Kruskal-Wallis test.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LUAD mutation: EGFR (n=61), KRAS (n=120), WT (n=311). Kruskal-Wallis test.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4.4 Siletti Brain Atlas (Human) — Results 5 &amp; 6 (Fig. 5 &amp; 6)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Dataset:    Siletti et al. (Science 2023)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Source:     https://github.com/linnarsson-lab/snRNA_brain_atlas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Technology: snRNA-seq (10x Genomics)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Data used:  888,263 non-neuronal nuclei, 108 brain regions, 10 cell classes</w:t>
      </w:r>
    </w:p>
    <w:p>
      <w:pPr>
        <w:spacing w:after="60" w:line="2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Processing: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1. Load Nonneurons.h5ad in backed mode (backed='r') for memory efficiency.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2. Map gene symbols from var["Gene"]; match HK genes from HRT Atlas (1,130 human genes) to gene symbol column.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3. Group by (cell_type, brain_region). Filter groups with &lt; 20 nuclei.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4. Build pseudobulk vectors: raw count means per (ct, region) group, then normalize_total (target_sum=1e4) and log1p at the pseudobulk level.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5. Compute omega for all same-cell-type cross-region pairs (31,764 pairs total).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6. Organize omega values per cell type and per region pair.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Cross-organ conservation (Fig. 5): Subset of 60 same-cell-type cross-organ pairs from Tabula Sapiens data. Ranked by mean omega per cell type.</w:t>
      </w:r>
    </w:p>
    <w:p>
      <w:pPr>
        <w:spacing w:after="60" w:line="2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Migration detection model (multiplicative):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For each (cell_type, region_pair) combination: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expected_omega = mu_ct * mu_pair / mu_grand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where mu_ct = cell type’s global mean omega, mu_pair = region pair’s mean omega, mu_grand = global mean (8.01).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residual = observed_omega / expected_omega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Confidence tiers: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Strong:   residual &lt; 0.3, omega &lt; 15, lowest omega in region pair.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Moderate: residual &lt; 0.5, omega &lt; 25.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Weak:     residual &lt; 0.75, omega &lt; 35.</w:t>
      </w:r>
    </w:p>
    <w:p>
      <w:pPr>
        <w:pStyle w:val="Heading2"/>
        <w:spacing w:after="120" w:before="18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5. Statistical Testing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5.1 Bootstrap Permutation Test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For each cell-type pair comparison, the null hypothesis H0: omega = 1 (no selective remodeling) is tested via permutation: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1. Pool all cells from groups A and B.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2. For each of B iterations (B = 1,000 for all datasets):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a. Randomly permute cell labels.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b. Split into two groups of original sizes.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c. Recompute pseudobulks and omega.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3. Null distribution = {omega_perm[1], ..., omega_perm[B]}.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4. P-value (absolute deviation from ω = 1):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p = (count(|omega_null - 1| &gt;= |omega_obs - 1|) + 1) / (B + 1)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5. Effect size: Cohen’s d = (omega_obs - mean_null) / std_null.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6. Test critical values at alpha=0.05: [percentile(null, 2.5), percentile(null, 97.5)]. Note: these are permutation-based test critical values for rejecting H0, NOT confidence intervals for omega itself.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5.2 Notes on Execution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Multiple testing correction (Benjamini-Hochberg FDR) is NOT systematically applied in the current analyses: all reported P-values and significance thresholds use raw (uncorrected) bootstrap P-values. This applies uniformly to the manuscript figures and the code repository (notebooks/).</w:t>
      </w:r>
    </w:p>
    <w:p>
      <w:r>
        <w:br w:type="page"/>
      </w:r>
    </w:p>
    <w:p>
      <w:pPr>
        <w:pStyle w:val="Heading2"/>
        <w:spacing w:after="120" w:before="18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6. Parameter Summary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All parameters used in the reported analyses: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600"/>
        <w:gridCol w:w="4200"/>
      </w:tblGrid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Parameter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Value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Used in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Random seed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42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all analyses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HK source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HRT Atlas v1.0 (loaded directly)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all datasets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HK use_reference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N/A (loaded directly, not via API)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all datasets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HRT Atlas file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data/housekeeping/Human_Mouse_Common.csv (used)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all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Number of HVGs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2,000 (global, for k_f)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mouse (Tabula Muris)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Per-pair DE genes (k_f)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200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human, TCGA, brain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Bootstrap iterations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1000 (abs. deviation from omega=1)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mouse pilot (main analysis)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Bootstrap iterations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1000 (abs. deviation from omega=1)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human (script 08b)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Bootstrap iterations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1000 (abs. deviation from omega=1)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TCGA (script 08a)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Bootstrap iterations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1000 (abs. deviation from omega=1)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brain (script 08c)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k_n scaling (alpha)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1.0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all analyses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k_f weight (w1)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1.0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all analyses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Pathway weight (w2)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0.0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all analyses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Normalization target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1e4 (CP10k)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all analyses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Min cells per group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mouse, human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Min cells per group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20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brain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Epsilon (omega ratio)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1e-9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all analyses</w:t>
            </w:r>
          </w:p>
        </w:tc>
      </w:tr>
    </w:tbl>
    <w:p>
      <w:pPr>
        <w:pStyle w:val="Heading2"/>
        <w:spacing w:after="120" w:before="18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7. Output Files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All results are written to results/: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Mouse (02c_pilot_v2b.py):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results/mouse_pilot_v2b_results.csv        # omega per pair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results/mouse_pilot_v2b_key_values.csv   # k_n, k_f, omega per comparison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Human (05_phase33_v3_fixed.py):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results/phase33_v3_human_omega.csv        # omega matrix (cell-types x cell-types)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results/phase33_v3_human_kn.csv           # k_n matrix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results/phase33_v3_human_kf.csv          # k_f matrix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results/phase33_v3_human_pairs.csv       # long-form pair list with omega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TCGA (06_phase34_v2.py):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results/phase34_v2_all_pairs.csv          # all TT/NN/TN pairs with omega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results/phase34_v2_summary.csv           # per-cancer summary statistics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results/phase34_v2_{cancer}_pair.csv  # per-cancer pair files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Brain (07c_brain_siletti_v3.py):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results/brain_siletti_omega_pairs_v3.csv        # all region-pair omega values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results/brain_siletti_ct_summary_v3.csv          # per-cell-type mean omega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results/brain_siletti_key_values_v3.csv          # per-cell-type global summary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results/brain_siletti_migration_candidates_v3.csv # migration candidate list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Bootstrap (08a/08b/08c):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results/tcga_bootstrap_results.csv           # TCGA bootstrap P-values (B=1000)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results/human_bootstrap_results.csv          # Human bootstrap P-values (B=1000)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results/brain_bootstrap_results.csv          # Brain bootstrap P-values (B=1000)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Figure scripts: notebooks/30_nar_figures_fixed_v2.py</w:t>
      </w:r>
    </w:p>
    <w:p>
      <w:pPr>
        <w:pStyle w:val="Heading2"/>
        <w:spacing w:after="120" w:before="18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8. Reproducibility Checklist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Install CKI v0.3.1: pip install -e 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Verify random seed = 42 in all scripts.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Verify HK gene source: HRT Atlas v1.0 reference (data/housekeeping/Human_Mouse_Common.csv), loaded directly for all datasets.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Verify identity gene parameters: HVG seurat flavor, n=2000, HK excluded.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Verify bootstrap iterations: 1000 (mouse, main), 1000 (human, 08b), 1000 (TCGA, 08a), 1000 (brain, 08c).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Verify normalization: CP10k + log1p.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Verify softmax normalization before JS divergence.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Verify epsilon = 1e-9 in omega computation.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Verify absolute-deviation bootstrap test with pseudocount +1.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For human/TCGA/brain: verify per-pair k_f uses top-200 DE genes.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For brain: verify min_cells_per_group = 20.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Note: FDR correction is not applied in the current analyses; all reported P-values are raw bootstrap P-values. (Section 5.2)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By following this guide with the exact parameter configurations above, readers should obtain numerically identical results to those reported in the manuscript. Minor floating-point differences (±1e-6) may occur due to hardware differences in transcendental function evaluation (exp, log) but will not affect any biological conclusions.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CKI Computational Reproducibility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00000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180"/>
      <w:outlineLvl w:val="1"/>
    </w:pPr>
    <w:rPr>
      <w:rFonts w:ascii="Arial" w:cs="Arial" w:eastAsia="Arial" w:hAnsi="Arial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120"/>
      <w:outlineLvl w:val="2"/>
    </w:pPr>
    <w:rPr>
      <w:rFonts w:ascii="Arial" w:cs="Arial" w:eastAsia="Arial" w:hAnsi="Arial"/>
      <w:b/>
      <w:bCs/>
      <w:color w:val="0000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2026-07-28T13:58:51.156Z</dcterms:created>
  <dcterms:modified xsi:type="dcterms:W3CDTF">2026-07-28T13:58:51.167Z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