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Transcriptional Reprogramming</w:t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base-2 logarithms, the JS divergence is bounded in [0, 1]. This bound is important for interpreting omega: when both k_n and k_f approach 1, omega = k_f/k_n may still vary, and in practice omega is capped at 1,000. Before CKI computation, softmax normalization is applied to convert raw expression vectors into probability distributions: softmax(x)_i = exp(x_i)/Σexp(x_j).</w:t>
      </w:r>
    </w:p>
    <w:p>
      <w:r>
        <w:rPr>
          <w:rFonts w:ascii="Arial" w:hAnsi="Arial"/>
          <w:b/>
          <w:color w:val="000000"/>
          <w:sz w:val="22"/>
        </w:rPr>
        <w:t>1.2 Neutral Drift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neutral drift rate is: k_n = JS(softmax(μ_A[H]), softmax(μ_B[H])). Rationale: HK genes should not exhibit systematic differences between biologically identical cell populations. The JS divergence observed on HK genes therefore reflects neutral noise: technical variation, stochastic transcriptional bursting, and individual-level physiological differences. k_n thus provides an internal neutral baseline,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JS(softmax(μ_A[I]), softmax(μ_B[I])).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Empirical P-value = (count(omega_null &gt;= omega_obs) + 1)/(B + 1),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GDC,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(count(omega_null &gt;= omega)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The empirical P-value formula uses a +1 pseudocount in both numerator and denominator to avoid zero P-values. Cohen's d interpretation: d &lt; 0.2 = negligible; 0.2-0.5 = small; 0.5-0.8 = medium; &gt; 0.8 = large. In CKI results, d values are typically &gt; 1.0 for significant comparisons, indicating large effect sizes.</w:t>
      </w:r>
    </w:p>
    <w:p>
      <w:r>
        <w:rPr>
          <w:rFonts w:ascii="Arial" w:hAnsi="Arial"/>
          <w:b/>
          <w:color w:val="000000"/>
          <w:sz w:val="22"/>
        </w:rPr>
        <w:t>3.3 Note on Multiple Testing Correction</w:t>
      </w:r>
    </w:p>
    <w:p>
      <w:r>
        <w:rPr>
          <w:rFonts w:ascii="Arial" w:hAnsi="Arial"/>
          <w:b w:val="0"/>
          <w:color w:val="000000"/>
          <w:sz w:val="22"/>
        </w:rPr>
        <w:t>Note: Benjamini-Hochberg FDR correction is NOT systematically applied in the current analyses. All reported significance judgments are based on raw bootstrap P-values (P &lt; 0.05). Effect sizes (Cohen's d) are consistently large (typically d &gt; 1.0), providing complementary evidence strength. TCGA stratified analyses (BRCA PAM50, LIHC Edmondson) involve a small number of comparisons (4-5 groups), and omnibus tests (Kruskal-Wallis, Jonckheere-Terpstra) are used without additional correction beyond the omnibus P-value.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1,129 genes from HRT Atlas v1.0 having human orthologs, mapped via gene symbol (1 gene without human ortholog was excluded).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totalling 3,596 samples. Normalization: TPM values from GDC,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notebooks/30_genome_biology_figures.py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notebooks/30_genome_biology_figures.py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