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color w:val="000000"/>
          <w:sz w:val="24"/>
        </w:rPr>
        <w:t>Xianming Wu</w:t>
      </w:r>
      <w:r>
        <w:rPr>
          <w:rFonts w:ascii="Arial" w:hAnsi="Arial"/>
          <w:color w:val="000000"/>
          <w:sz w:val="18"/>
          <w:vertAlign w:val="superscript"/>
        </w:rPr>
        <w:t>1</w:t>
      </w:r>
      <w:r>
        <w:t xml:space="preserve">, </w:t>
      </w:r>
      <w:r>
        <w:rPr>
          <w:rFonts w:ascii="Arial" w:hAnsi="Arial"/>
          <w:color w:val="000000"/>
          <w:sz w:val="24"/>
        </w:rPr>
        <w:t>Li Zhang</w:t>
      </w:r>
      <w:r>
        <w:rPr>
          <w:rFonts w:ascii="Arial" w:hAnsi="Arial"/>
          <w:color w:val="000000"/>
          <w:sz w:val="18"/>
          <w:vertAlign w:val="superscript"/>
        </w:rPr>
        <w:t>1</w:t>
      </w:r>
      <w:r>
        <w:rPr>
          <w:rFonts w:ascii="Arial" w:hAnsi="Arial"/>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Graphical Abstract</w:t>
      </w:r>
    </w:p>
    <w:p>
      <w:pPr>
        <w:spacing w:line="276" w:lineRule="auto" w:after="60"/>
        <w:ind w:firstLine="0"/>
      </w:pPr>
      <w:r>
        <w:rPr>
          <w:rFonts w:ascii="Arial" w:hAnsi="Arial"/>
          <w:b w:val="0"/>
          <w:i w:val="0"/>
          <w:color w:val="000000"/>
          <w:sz w:val="22"/>
        </w:rPr>
        <w:t>[A graphical abstract figure (landscape, 5:2 aspect ratio) will be provided separately.]</w:t>
      </w:r>
    </w:p>
    <w:p>
      <w:pPr>
        <w:pStyle w:val="Heading1"/>
        <w:spacing w:before="240" w:after="120"/>
      </w:pPr>
      <w:r>
        <w:rPr>
          <w:rFonts w:ascii="Arial" w:hAnsi="Arial"/>
          <w:color w:val="000000"/>
          <w:sz w:val="32"/>
          <w:b/>
        </w:rPr>
        <w:t>Abstract</w:t>
      </w:r>
    </w:p>
    <w:p>
      <w:pPr>
        <w:spacing w:line="276" w:lineRule="auto" w:after="60"/>
        <w:ind w:firstLine="0"/>
      </w:pPr>
      <w:r>
        <w:rPr>
          <w:rFonts w:ascii="Arial" w:hAnsi="Arial"/>
          <w:b w:val="0"/>
          <w:i w:val="0"/>
          <w:color w:val="000000"/>
          <w:sz w:val="22"/>
        </w:rPr>
        <w:t>Comparing cell populations is fundamental in single-cell genomics, yet standard distance metrics conflate baseline variation with functional adaptation. Heuristically inspired by the Ka/Ks ratio in molecular evolution, we present CKI (Cell-state Kinetic Index), which decomposes transcriptomic divergence into a baseline divergence rate (k_n, from housekeeping gene expression) and a functional divergence rate (k_f, from identity gene expression), with ω = k_f/k_n quantifying baseline-normalized functional divergence. We validated CKI across four datasets: the Tabula Muris mouse atlas, Tabula Sapiens human atlas, TCGA pan-cancer data, and a human brain single-nucleus atlas totaling millions of cells. Calibration confirmed baseline behavior for equivalent populations (mean ω = 1.54, all P &gt; 0.05). CKI ω was negatively correlated with all standard distance metrics (Spearman r = −0.38 to −0.57,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functional transcriptomic divergence relative to an internal baseline, available as an open-source Python package.</w:t>
      </w:r>
    </w:p>
    <w:p>
      <w:pPr>
        <w:pStyle w:val="Heading1"/>
        <w:spacing w:before="240" w:after="120"/>
      </w:pPr>
      <w:r>
        <w:rPr>
          <w:rFonts w:ascii="Arial" w:hAnsi="Arial"/>
          <w:color w:val="000000"/>
          <w:sz w:val="32"/>
          <w:b/>
        </w:rPr>
        <w:t>Introduction</w:t>
      </w:r>
    </w:p>
    <w:p>
      <w:pPr>
        <w:spacing w:line="276" w:lineRule="auto" w:after="60"/>
        <w:ind w:firstLine="0"/>
      </w:pPr>
      <w:r>
        <w:rPr>
          <w:rFonts w:ascii="Arial" w:hAnsi="Arial"/>
          <w:b w:val="0"/>
          <w:i w:val="0"/>
          <w:color w:val="000000"/>
          <w:sz w:val="22"/>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276" w:lineRule="auto" w:after="60"/>
        <w:ind w:firstLine="0"/>
      </w:pPr>
      <w:r>
        <w:rPr>
          <w:rFonts w:ascii="Arial" w:hAnsi="Arial"/>
          <w:b w:val="0"/>
          <w:i w:val="0"/>
          <w:color w:val="000000"/>
          <w:sz w:val="22"/>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(1), scVI (2), and SATURN (3) have been developed specifically to remove such nuisance variation. But after correction, a key question remains: how much of the remaining difference between two populations represents functional adaptation, and how much is simply neutral drift?</w:t>
      </w:r>
    </w:p>
    <w:p>
      <w:pPr>
        <w:spacing w:line="276" w:lineRule="auto" w:after="60"/>
        <w:ind w:firstLine="0"/>
      </w:pPr>
      <w:r>
        <w:rPr>
          <w:rFonts w:ascii="Arial" w:hAnsi="Arial"/>
          <w:b w:val="0"/>
          <w:i w:val="0"/>
          <w:color w:val="000000"/>
          <w:sz w:val="22"/>
        </w:rPr>
        <w:t>We realized that this question mirrors a problem addressed in molecular evolution. When comparing two DNA sequences, the Ka/Ks ratio (also called dN/dS) distinguishes nonsynonymous changes (Ka, which alter the protein) from synonymous changes (Ks, which are largely silent). Ka/Ks uses synonymous sites as an internal baseline: the same mutational process produces both types of change, allowing the ratio to reveal selection. While CKI does not share Ka/Ks’s formal mathematical properties (notably the shared mutation rate that cancels in the ratio; see Discussion), it adopts an analogous heuristic logic for transcriptomic comparisons.</w:t>
      </w:r>
    </w:p>
    <w:p>
      <w:pPr>
        <w:spacing w:line="276" w:lineRule="auto" w:after="60"/>
        <w:ind w:firstLine="0"/>
      </w:pPr>
      <w:r>
        <w:rPr>
          <w:rFonts w:ascii="Arial" w:hAnsi="Arial"/>
          <w:b w:val="0"/>
          <w:i w:val="0"/>
          <w:color w:val="000000"/>
          <w:sz w:val="22"/>
        </w:rPr>
        <w:t>We applied this heuristic logic to transcriptomic comparisons. CKI defines two rates: a baseline divergence rate k_n, estimated from housekeeping (HK) gene expression; and a functional divergence rate k_f, estimated from cell-type identity genes. The ratio ω = k_f/k_n quantifies baseline-normalized functional divergence: ω near 1 means the observed differences are consistent with baseline expectation; ω much greater than 1 means functional divergence exceeds baseline variation; ω much less than 1 means strong functional constraint. Importantly, CKI ω is a heuristic index, not a formal measure of Darwinian selection; we use ω &lt; 1, ω ≈ 1, and ω &gt; 1 as convenient operational thresholds rather than claims about selection regimes (see Discussion).</w:t>
      </w:r>
    </w:p>
    <w:p>
      <w:pPr>
        <w:spacing w:line="276" w:lineRule="auto" w:after="60"/>
        <w:ind w:firstLine="0"/>
      </w:pPr>
      <w:r>
        <w:rPr>
          <w:rFonts w:ascii="Arial" w:hAnsi="Arial"/>
          <w:b w:val="0"/>
          <w:i w:val="0"/>
          <w:color w:val="000000"/>
          <w:sz w:val="22"/>
        </w:rPr>
        <w:t>We validated CKI across four scales, each testing a different aspect of the method. First, we calibrated CKI on Tabula Muris mouse data (5), confirming that random splits of the same cell population yield ω close to 1 (baseline behavior). Second, we extended CKI to Tabula Sapiens human data (6) and found that CKI ω is negatively correlated with all four standard distance metrics, proving it captures an orthogonal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Materials and Methods</w:t>
      </w:r>
    </w:p>
    <w:p>
      <w:pPr>
        <w:pStyle w:val="Heading2"/>
        <w:spacing w:before="240" w:after="120"/>
      </w:pPr>
      <w:r>
        <w:rPr>
          <w:rFonts w:ascii="Arial" w:hAnsi="Arial"/>
          <w:color w:val="000000"/>
          <w:sz w:val="28"/>
          <w:b/>
        </w:rPr>
        <w:t>CKI computation</w:t>
      </w:r>
    </w:p>
    <w:p>
      <w:pPr>
        <w:spacing w:line="276" w:lineRule="auto" w:after="60"/>
        <w:ind w:firstLine="0"/>
      </w:pPr>
      <w:r>
        <w:rPr>
          <w:rFonts w:ascii="Arial" w:hAnsi="Arial"/>
          <w:b w:val="0"/>
          <w:i w:val="0"/>
          <w:color w:val="000000"/>
          <w:sz w:val="22"/>
        </w:rPr>
        <w:t>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w:t>
      </w:r>
    </w:p>
    <w:p>
      <w:pPr>
        <w:spacing w:line="276" w:lineRule="auto" w:after="60"/>
        <w:ind w:firstLine="0"/>
      </w:pPr>
      <w:r>
        <w:rPr>
          <w:rFonts w:ascii="Arial" w:hAnsi="Arial"/>
          <w:b w:val="0"/>
          <w:i w:val="0"/>
          <w:color w:val="000000"/>
          <w:sz w:val="22"/>
        </w:rPr>
        <w:t>For populations A and B with pseudobulk vectors ε_A and ε_B, each vector is normalized to a probability distribution before JS divergence computation via softmax normalization (p_i = exp(x_i) / Σ exp(x_j)). Then k_n = JS(norm(ε_A[H]), norm(ε_B[H])), where H is the set of HK gene indices. k_f = JS(norm(ε_A[I]), norm(ε_B[I])), where I is the set of top-2,000 highly variable genes (HVGs; Seurat flavor) excluding HK genes. ω = k_f/k_n. JS divergence uses the base-2 logarithm (range [0, 1]).</w:t>
      </w:r>
    </w:p>
    <w:p>
      <w:pPr>
        <w:pStyle w:val="Heading2"/>
        <w:spacing w:before="240" w:after="120"/>
      </w:pPr>
      <w:r>
        <w:rPr>
          <w:rFonts w:ascii="Arial" w:hAnsi="Arial"/>
          <w:color w:val="000000"/>
          <w:sz w:val="28"/>
          <w:b/>
        </w:rPr>
        <w:t>Bootstrap permutation test</w:t>
      </w:r>
    </w:p>
    <w:p>
      <w:pPr>
        <w:spacing w:line="276" w:lineRule="auto" w:after="60"/>
        <w:ind w:firstLine="0"/>
      </w:pPr>
      <w:r>
        <w:rPr>
          <w:rFonts w:ascii="Arial" w:hAnsi="Arial"/>
          <w:b w:val="0"/>
          <w:i w:val="0"/>
          <w:color w:val="000000"/>
          <w:sz w:val="22"/>
        </w:rPr>
        <w:t>We randomly permute cell labels between the two populations (B = 1,000 for primary analyses, B = 500 for calibration), recompute pseudobulk vectors, and calculate ω_null for each permutation. Two-sided empirical P-values are computed as: P = 2 × min((count(ω_null ≥ ω_obs) + 1)/(B + 1), (count(ω_null ≤ ω_obs) + 1)/(B + 1)), capped at 1.0, where the +1 pseudocount avoids P = 0. Standardized effect size = (ω_obs - mean(ω_null)) / sd(ω_null).</w:t>
      </w:r>
    </w:p>
    <w:p>
      <w:pPr>
        <w:pStyle w:val="Heading2"/>
        <w:spacing w:before="240" w:after="120"/>
      </w:pPr>
      <w:r>
        <w:rPr>
          <w:rFonts w:ascii="Arial" w:hAnsi="Arial"/>
          <w:color w:val="000000"/>
          <w:sz w:val="28"/>
          <w:b/>
        </w:rPr>
        <w:t>Datasets</w:t>
      </w:r>
    </w:p>
    <w:p>
      <w:pPr>
        <w:spacing w:line="276" w:lineRule="auto" w:after="60"/>
        <w:ind w:firstLine="0"/>
      </w:pPr>
      <w:r>
        <w:rPr>
          <w:rFonts w:ascii="Arial" w:hAnsi="Arial"/>
          <w:b w:val="0"/>
          <w:i w:val="0"/>
          <w:color w:val="000000"/>
          <w:sz w:val="22"/>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276" w:lineRule="auto" w:after="60"/>
        <w:ind w:firstLine="0"/>
      </w:pPr>
      <w:r>
        <w:rPr>
          <w:rFonts w:ascii="Arial" w:hAnsi="Arial"/>
          <w:b w:val="0"/>
          <w:i w:val="0"/>
          <w:color w:val="000000"/>
          <w:sz w:val="22"/>
        </w:rPr>
        <w:t>Tabula Sapiens v1.0 (6): accessed via CZ CELLxGENE Discover. Post-QC: 108,136 cells (6 h5ad files total), 51,852 genes, 99 cell-type entries across 6 organs. Human HK genes: auto-detected (combined detection-rate/CV criterion), with optional enhancement from 1,130 HRT Atlas v1.0 genes mapped by gene symbol.</w:t>
      </w:r>
    </w:p>
    <w:p>
      <w:pPr>
        <w:spacing w:line="276" w:lineRule="auto" w:after="60"/>
        <w:ind w:firstLine="0"/>
      </w:pPr>
      <w:r>
        <w:rPr>
          <w:rFonts w:ascii="Arial" w:hAnsi="Arial"/>
          <w:b w:val="0"/>
          <w:i w:val="0"/>
          <w:color w:val="000000"/>
          <w:sz w:val="22"/>
        </w:rPr>
        <w:t>TCGA bulk RNA-seq (28): five cancer types from NCI Genomic Data Commons, accessed via TCGAbiolinks (29) and cBioPortal (14) APIs. LUAD: 495 tumor + 76 normal; LUSC: 567 tumor + 58 normal; LIHC: 365 tumor + 57 normal; KIRC: 755 tumor + 82 normal; BRCA: 1032 tumor + 109 normal. TPM values from UCSC Xena, log2(x+1) transformed. PAM50 classification (11,12): nearest centroid (Pearson correlation), 44 of 47 PAM50 genes matched. LIHC Edmondson grade (10): from cBioPortal, 288 tumors. LUAD mutations: from cBioPortal, 492 samples (61 EGFR, 120 KRAS, 311 WT).</w:t>
      </w:r>
    </w:p>
    <w:p>
      <w:pPr>
        <w:spacing w:line="276" w:lineRule="auto" w:after="60"/>
        <w:ind w:firstLine="0"/>
      </w:pPr>
      <w:r>
        <w:rPr>
          <w:rFonts w:ascii="Arial" w:hAnsi="Arial"/>
          <w:b w:val="0"/>
          <w:i w:val="0"/>
          <w:color w:val="000000"/>
          <w:sz w:val="22"/>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Normalization: Scanpy normalize_total (target_sum = 10,000) followed by log1p transformation. Pseudobulk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pPr>
        <w:pStyle w:val="Heading2"/>
        <w:spacing w:before="240" w:after="120"/>
      </w:pPr>
      <w:r>
        <w:rPr>
          <w:rFonts w:ascii="Arial" w:hAnsi="Arial"/>
          <w:color w:val="000000"/>
          <w:sz w:val="28"/>
          <w:b/>
        </w:rPr>
        <w:t>Method comparison</w:t>
      </w:r>
    </w:p>
    <w:p>
      <w:pPr>
        <w:spacing w:line="276" w:lineRule="auto" w:after="6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276" w:lineRule="auto" w:after="60"/>
        <w:ind w:firstLine="0"/>
      </w:pPr>
      <w:r>
        <w:rPr>
          <w:rFonts w:ascii="Arial" w:hAnsi="Arial"/>
          <w:b w:val="0"/>
          <w:i w:val="0"/>
          <w:color w:val="000000"/>
          <w:sz w:val="22"/>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276" w:lineRule="auto" w:after="60"/>
        <w:ind w:firstLine="0"/>
      </w:pPr>
      <w:r>
        <w:rPr>
          <w:rFonts w:ascii="Arial" w:hAnsi="Arial"/>
          <w:b w:val="0"/>
          <w:i w:val="0"/>
          <w:color w:val="000000"/>
          <w:sz w:val="22"/>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pPr>
        <w:pStyle w:val="Heading2"/>
        <w:spacing w:before="240" w:after="120"/>
      </w:pPr>
      <w:r>
        <w:rPr>
          <w:rFonts w:ascii="Arial" w:hAnsi="Arial"/>
          <w:color w:val="000000"/>
          <w:sz w:val="28"/>
          <w:b/>
        </w:rPr>
        <w:t>Computational environment</w:t>
      </w:r>
    </w:p>
    <w:p>
      <w:pPr>
        <w:spacing w:line="276" w:lineRule="auto" w:after="60"/>
        <w:ind w:firstLine="0"/>
      </w:pPr>
      <w:r>
        <w:rPr>
          <w:rFonts w:ascii="Arial" w:hAnsi="Arial"/>
          <w:b w:val="0"/>
          <w:i w:val="0"/>
          <w:color w:val="000000"/>
          <w:sz w:val="22"/>
        </w:rPr>
        <w:t>All analyses were performed in Python 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276" w:lineRule="auto" w:after="60"/>
        <w:ind w:firstLine="0"/>
      </w:pPr>
      <w:r>
        <w:rPr>
          <w:rFonts w:ascii="Arial" w:hAnsi="Arial"/>
          <w:b w:val="0"/>
          <w:i w:val="0"/>
          <w:color w:val="000000"/>
          <w:sz w:val="22"/>
        </w:rPr>
        <w:t>We report summary statistics as mean ± s.d. (range) or median [IQR] as noted. Box plots display median, IQR, and 1.5× IQR whiskers. All P-values are two-sided unless otherwise specified. Bootstrap inference uses B = 1,000 for primary analyses and B = 500 for calibration; empirical P-values use the two-sided +1 pseudocount formula: P = 2 × min((count(ω_null ≥ ω_obs) + 1)/(B + 1), (count(ω_null ≤ ω_obs) + 1)/(B + 1)), capped at 1.0. All reported P-values are raw bootstrap P-values without multiple testing correction. Effect sizes are reported as Cohen's d; d &gt; 0.8 indicates a large effect.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276" w:lineRule="auto" w:after="60"/>
        <w:ind w:firstLine="0"/>
      </w:pPr>
      <w:r>
        <w:rPr>
          <w:rFonts w:ascii="Arial" w:hAnsi="Arial"/>
          <w:b w:val="0"/>
          <w:i w:val="0"/>
          <w:color w:val="000000"/>
          <w:sz w:val="22"/>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276" w:lineRule="auto" w:after="60"/>
        <w:ind w:firstLine="0"/>
      </w:pPr>
      <w:r>
        <w:rPr>
          <w:rFonts w:ascii="Arial" w:hAnsi="Arial"/>
          <w:b w:val="0"/>
          <w:i w:val="0"/>
          <w:color w:val="000000"/>
          <w:sz w:val="22"/>
        </w:rPr>
        <w:t>Step 1: Compute the baseline divergence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276" w:lineRule="auto" w:after="60"/>
        <w:ind w:firstLine="0"/>
      </w:pPr>
      <w:r>
        <w:rPr>
          <w:rFonts w:ascii="Arial" w:hAnsi="Arial"/>
          <w:b w:val="0"/>
          <w:i w:val="0"/>
          <w:color w:val="000000"/>
          <w:sz w:val="22"/>
        </w:rPr>
        <w:t>Step 2: Compute the functional conversion rate k_f. We restrict the pseudobulk vectors to identity gene indices—genes that define cell-type-specific functions. In the default configuration, identity genes are the top-2,000 highly variable genes (HVGs; Seurat flavor), excluding HK genes to maintain k_n/k_f independence. k_f is the JS divergence between these two identity gene probability distributions.</w:t>
      </w:r>
    </w:p>
    <w:p>
      <w:pPr>
        <w:spacing w:line="276" w:lineRule="auto" w:after="60"/>
        <w:ind w:firstLine="0"/>
      </w:pPr>
      <w:r>
        <w:rPr>
          <w:rFonts w:ascii="Arial" w:hAnsi="Arial"/>
          <w:b w:val="0"/>
          <w:i w:val="0"/>
          <w:color w:val="000000"/>
          <w:sz w:val="22"/>
        </w:rPr>
        <w:t>Step 3: ω = k_f/k_n. For statistical inference, we perform bootstrap permutation testing (B = 1,000 for primary analyses, B = 500 for calibration). Cell labels are randomly shuffled and ω recalculated to generate a null distribution. The two-sided empirical P-value is P = 2 × min((count(ω_null ≥ ω_obs) + 1)/(B + 1), (count(ω_null ≤ ω_obs) + 1)/(B + 1)), capped at 1.0, and effect size is reported as Cohen's d. All reported P-values are raw bootstrap P-values without multiple testing correction.</w:t>
      </w:r>
    </w:p>
    <w:p>
      <w:pPr>
        <w:spacing w:line="276" w:lineRule="auto" w:after="60"/>
        <w:ind w:firstLine="0"/>
      </w:pPr>
      <w:r>
        <w:rPr>
          <w:rFonts w:ascii="Arial" w:hAnsi="Arial"/>
          <w:b w:val="0"/>
          <w:i w:val="0"/>
          <w:color w:val="000000"/>
          <w:sz w:val="22"/>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Extended Data Fig. 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baseline behavior at baseline</w:t>
      </w:r>
    </w:p>
    <w:p>
      <w:pPr>
        <w:spacing w:line="276" w:lineRule="auto" w:after="60"/>
        <w:ind w:firstLine="0"/>
      </w:pPr>
      <w:r>
        <w:rPr>
          <w:rFonts w:ascii="Arial" w:hAnsi="Arial"/>
          <w:b w:val="0"/>
          <w:i w:val="0"/>
          <w:color w:val="000000"/>
          <w:sz w:val="22"/>
        </w:rPr>
        <w:t>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excluding HK genes (Fig. 2).</w:t>
      </w:r>
    </w:p>
    <w:p>
      <w:pPr>
        <w:spacing w:line="276" w:lineRule="auto" w:after="60"/>
        <w:ind w:firstLine="0"/>
      </w:pPr>
      <w:r>
        <w:rPr>
          <w:rFonts w:ascii="Arial" w:hAnsi="Arial"/>
          <w:b w:val="0"/>
          <w:i w:val="0"/>
          <w:color w:val="000000"/>
          <w:sz w:val="22"/>
        </w:rPr>
        <w:t>The calibration confirmed correct baseline behavior. We performed six control comparisons in which we randomly split the same cell population into two halves. The mean ω was 1.54 (median 1.42, range 1.09–2.10), and none of the six comparisons reached statistical significance (all P &gt; 0.05, two-sided bootstrap test). This confirms that CKI recognizes biologically equivalent cell populations as having no functional divergence.</w:t>
      </w:r>
    </w:p>
    <w:p>
      <w:pPr>
        <w:spacing w:line="276" w:lineRule="auto" w:after="60"/>
        <w:ind w:firstLine="0"/>
      </w:pPr>
      <w:r>
        <w:rPr>
          <w:rFonts w:ascii="Arial" w:hAnsi="Arial"/>
          <w:b w:val="0"/>
          <w:i w:val="0"/>
          <w:color w:val="000000"/>
          <w:sz w:val="22"/>
        </w:rPr>
        <w:t>Beyond controls, ω values increased monotonically with biological distance. Same cell type across different organs (S category: mean ω = 4.03, n = 4 pairs) had lower ω than different cell types within the same organ (D category: mean ω = 13.18, n = 3 pairs). The component-level analysis confirmed that k_f was the driver: k_f increased roughly 1,000-fold from controls to inter-cell-type comparisons, while k_n increased only about 100-fold. This establishes that CKI measures functional divergence, not just total difference.</w:t>
      </w:r>
    </w:p>
    <w:p>
      <w:pPr>
        <w:pStyle w:val="Heading2"/>
        <w:spacing w:before="240" w:after="120"/>
      </w:pPr>
      <w:r>
        <w:rPr>
          <w:rFonts w:ascii="Arial" w:hAnsi="Arial"/>
          <w:color w:val="000000"/>
          <w:sz w:val="28"/>
          <w:b/>
        </w:rPr>
        <w:t>CKI captures information that standard metrics miss</w:t>
      </w:r>
    </w:p>
    <w:p>
      <w:pPr>
        <w:spacing w:line="276" w:lineRule="auto" w:after="60"/>
        <w:ind w:firstLine="0"/>
      </w:pPr>
      <w:r>
        <w:rPr>
          <w:rFonts w:ascii="Arial" w:hAnsi="Arial"/>
          <w:b w:val="0"/>
          <w:i w:val="0"/>
          <w:color w:val="000000"/>
          <w:sz w:val="22"/>
        </w:rPr>
        <w:t>We extended CKI to the Tabula Sapiens human atlas (6) (108,136 cells; 6 h5ad files total, 99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auto-detected (combined criterion, with optional HRT Atlas enhancement) (Fig. 3).</w:t>
      </w:r>
    </w:p>
    <w:p>
      <w:pPr>
        <w:spacing w:line="276" w:lineRule="auto" w:after="60"/>
        <w:ind w:firstLine="0"/>
      </w:pPr>
      <w:r>
        <w:rPr>
          <w:rFonts w:ascii="Arial" w:hAnsi="Arial"/>
          <w:b w:val="0"/>
          <w:i w:val="0"/>
          <w:color w:val="000000"/>
          <w:sz w:val="22"/>
        </w:rPr>
        <w:t>Human ω values ranged from 1.10 to 58.69 (mean 14.23, median 13.81, n = 4,851 pairs), substantively higher than mouse (mean 7.07).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p>
    <w:p>
      <w:pPr>
        <w:spacing w:line="276" w:lineRule="auto" w:after="60"/>
        <w:ind w:firstLine="0"/>
      </w:pPr>
      <w:r>
        <w:rPr>
          <w:rFonts w:ascii="Arial" w:hAnsi="Arial"/>
          <w:b w:val="0"/>
          <w:i w:val="0"/>
          <w:color w:val="000000"/>
          <w:sz w:val="22"/>
        </w:rPr>
        <w:t>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(99 cell types,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276" w:lineRule="auto" w:after="60"/>
        <w:ind w:firstLine="0"/>
      </w:pPr>
      <w:r>
        <w:rPr>
          <w:rFonts w:ascii="Arial" w:hAnsi="Arial"/>
          <w:b w:val="0"/>
          <w:i w:val="0"/>
          <w:color w:val="000000"/>
          <w:sz w:val="22"/>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276" w:lineRule="auto" w:after="60"/>
        <w:ind w:firstLine="0"/>
      </w:pPr>
      <w:r>
        <w:rPr>
          <w:rFonts w:ascii="Arial" w:hAnsi="Arial"/>
          <w:b w:val="0"/>
          <w:i w:val="0"/>
          <w:color w:val="000000"/>
          <w:sz w:val="22"/>
        </w:rPr>
        <w:t>We applied CKI to TCGA bulk RNA-seq data across five cancer types (LUAD, LUSC, LIHC, KIRC, BRCA) (7,8), totalling 3,596 samples. We asked a simple question: when cancer develops, how much functional transcriptional divergence occurs? CKI provides a principled answer by comparing tumor-tumor (TT), normal-normal (NN), and tumor-normal (TN) ω values (Fig. 4).</w:t>
      </w:r>
    </w:p>
    <w:p>
      <w:pPr>
        <w:spacing w:line="276" w:lineRule="auto" w:after="60"/>
        <w:ind w:firstLine="0"/>
      </w:pPr>
      <w:r>
        <w:rPr>
          <w:rFonts w:ascii="Arial" w:hAnsi="Arial"/>
          <w:b w:val="0"/>
          <w:i w:val="0"/>
          <w:color w:val="000000"/>
          <w:sz w:val="22"/>
        </w:rP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This convergence toward shared transcriptional states may represent common vulnerabilities across genetically diverse tumors.</w:t>
      </w:r>
    </w:p>
    <w:p>
      <w:pPr>
        <w:spacing w:line="276" w:lineRule="auto" w:after="60"/>
        <w:ind w:firstLine="0"/>
      </w:pPr>
      <w:r>
        <w:rPr>
          <w:rFonts w:ascii="Arial" w:hAnsi="Arial"/>
          <w:b w:val="0"/>
          <w:i w:val="0"/>
          <w:color w:val="000000"/>
          <w:sz w:val="22"/>
        </w:rP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pPr>
        <w:spacing w:line="276" w:lineRule="auto" w:after="60"/>
        <w:ind w:firstLine="0"/>
      </w:pPr>
      <w:r>
        <w:rPr>
          <w:rFonts w:ascii="Arial" w:hAnsi="Arial"/>
          <w:b w:val="0"/>
          <w:i w:val="0"/>
          <w:color w:val="000000"/>
          <w:sz w:val="22"/>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276" w:lineRule="auto" w:after="60"/>
        <w:ind w:firstLine="0"/>
      </w:pPr>
      <w:r>
        <w:rPr>
          <w:rFonts w:ascii="Arial" w:hAnsi="Arial"/>
          <w:b w:val="0"/>
          <w:i w:val="0"/>
          <w:color w:val="000000"/>
          <w:sz w:val="22"/>
        </w:rPr>
        <w:t>Among the 4,851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276" w:lineRule="auto" w:after="60"/>
        <w:ind w:firstLine="0"/>
      </w:pPr>
      <w:r>
        <w:rPr>
          <w:rFonts w:ascii="Arial" w:hAnsi="Arial"/>
          <w:b w:val="0"/>
          <w:i w:val="0"/>
          <w:color w:val="000000"/>
          <w:sz w:val="22"/>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(32). We note that several cell types (particularly those with n = 1 or 3) have small sample sizes, and their rankings should be interpreted with appropriate caution.</w:t>
      </w:r>
    </w:p>
    <w:p>
      <w:pPr>
        <w:spacing w:line="276" w:lineRule="auto" w:after="60"/>
        <w:ind w:firstLine="0"/>
      </w:pPr>
      <w:r>
        <w:rPr>
          <w:rFonts w:ascii="Arial" w:hAnsi="Arial"/>
          <w:b w:val="0"/>
          <w:i w:val="0"/>
          <w:color w:val="000000"/>
          <w:sz w:val="22"/>
        </w:rPr>
        <w:t>The cross-organ conservation ranking from CKI showed little agreement with rankings from standard metrics (Spearman r = -0.40 to +0.02, n = 59 pairs).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276" w:lineRule="auto" w:after="60"/>
        <w:ind w:firstLine="0"/>
      </w:pPr>
      <w:r>
        <w:rPr>
          <w:rFonts w:ascii="Arial" w:hAnsi="Arial"/>
          <w:b w:val="0"/>
          <w:i w:val="0"/>
          <w:color w:val="000000"/>
          <w:sz w:val="22"/>
        </w:rPr>
        <w:t>We applied CKI to the Siletti et al. human brain single-nucleus RNA-seq atlas (9),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276" w:lineRule="auto" w:after="60"/>
        <w:ind w:firstLine="0"/>
      </w:pPr>
      <w:r>
        <w:rPr>
          <w:rFonts w:ascii="Arial" w:hAnsi="Arial"/>
          <w:b w:val="0"/>
          <w:i w:val="0"/>
          <w:color w:val="000000"/>
          <w:sz w:val="22"/>
        </w:rP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276" w:lineRule="auto" w:after="60"/>
        <w:ind w:firstLine="0"/>
      </w:pPr>
      <w:r>
        <w:rPr>
          <w:rFonts w:ascii="Arial" w:hAnsi="Arial"/>
          <w:b w:val="0"/>
          <w:i w:val="0"/>
          <w:color w:val="000000"/>
          <w:sz w:val="22"/>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p>
    <w:p>
      <w:pPr>
        <w:spacing w:line="276" w:lineRule="auto" w:after="60"/>
        <w:ind w:firstLine="0"/>
      </w:pPr>
      <w:r>
        <w:rPr>
          <w:rFonts w:ascii="Arial" w:hAnsi="Arial"/>
          <w:b w:val="0"/>
          <w:i w:val="0"/>
          <w:color w:val="000000"/>
          <w:sz w:val="22"/>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putative inter-regional migration events</w:t>
      </w:r>
    </w:p>
    <w:p>
      <w:pPr>
        <w:spacing w:line="276" w:lineRule="auto" w:after="60"/>
        <w:ind w:firstLine="0"/>
      </w:pPr>
      <w:r>
        <w:rPr>
          <w:rFonts w:ascii="Arial" w:hAnsi="Arial"/>
          <w:b w:val="0"/>
          <w:i w:val="0"/>
          <w:color w:val="000000"/>
          <w:sz w:val="22"/>
        </w:rPr>
        <w:t>Low CKI ω between a cell type across two brain regions indicates transcriptomic similarity beyond baseline expectation. We systematically cross-validated Strong candidate signals against the developmental neuroscience literature and identified four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(iii) compartmentalized developmental specification—region-specific transcriptional programs during development produce persistent astrocyte and vascular identity differences; and (iv)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276" w:lineRule="auto" w:after="60"/>
        <w:ind w:firstLine="0"/>
      </w:pPr>
      <w:r>
        <w:rPr>
          <w:rFonts w:ascii="Arial" w:hAnsi="Arial"/>
          <w:b w:val="0"/>
          <w:i w:val="0"/>
          <w:color w:val="000000"/>
          <w:sz w:val="22"/>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(residual &lt; 0.5, ω &lt; 25), and Weak (residual &lt; 0.75, ω &lt; 35).</w:t>
      </w:r>
    </w:p>
    <w:p>
      <w:pPr>
        <w:spacing w:line="276" w:lineRule="auto" w:after="60"/>
        <w:ind w:firstLine="0"/>
      </w:pPr>
      <w:r>
        <w:rPr>
          <w:rFonts w:ascii="Arial" w:hAnsi="Arial"/>
          <w:b w:val="0"/>
          <w:i w:val="0"/>
          <w:color w:val="000000"/>
          <w:sz w:val="22"/>
        </w:rPr>
        <w:t>Among 31,764 cross-region comparisons, 30 (0.09%) were classified as Strong migration candidates: Astrocyte (6), fibroblast (1), microglia (10), oligodendrocyte (10), and vascular cells (3). Another 1,247 pairs (3.93%) were Moderate candidates, and 6,567 (20.67%) were Weak candidates. By cell type, the Strong candidate counts reflect a combination of regional adjacency, shared developmental origins, and ongoing cellular interchange.</w:t>
      </w:r>
    </w:p>
    <w:p>
      <w:pPr>
        <w:pStyle w:val="Heading3"/>
        <w:spacing w:before="240" w:after="120"/>
      </w:pPr>
      <w:r>
        <w:rPr>
          <w:rFonts w:ascii="Arial" w:hAnsi="Arial"/>
          <w:color w:val="000000"/>
          <w:sz w:val="24"/>
          <w:b/>
        </w:rPr>
        <w:t>OPCs: key negative control validates method specificity</w:t>
      </w:r>
    </w:p>
    <w:p>
      <w:pPr>
        <w:spacing w:line="276" w:lineRule="auto" w:after="60"/>
        <w:ind w:firstLine="0"/>
      </w:pPr>
      <w:r>
        <w:rPr>
          <w:rFonts w:ascii="Arial" w:hAnsi="Arial"/>
          <w:b w:val="0"/>
          <w:i w:val="0"/>
          <w:color w:val="000000"/>
          <w:sz w:val="22"/>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functional divergence is strikingly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276" w:lineRule="auto" w:after="60"/>
        <w:ind w:firstLine="0"/>
      </w:pPr>
      <w:r>
        <w:rPr>
          <w:rFonts w:ascii="Arial" w:hAnsi="Arial"/>
          <w:b w:val="0"/>
          <w:i w:val="0"/>
          <w:color w:val="000000"/>
          <w:sz w:val="22"/>
        </w:rPr>
        <w:t>Mature oligodendrocytes contributed 10 Strong signals (residual 0.237–0.292), yet the prevailing view is that adult oligodendrocytes do not migrate between brain regions. We systematically cross-validated all 10 Strong pairs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276" w:lineRule="auto" w:after="60"/>
        <w:ind w:firstLine="0"/>
      </w:pPr>
      <w:r>
        <w:rPr>
          <w:rFonts w:ascii="Arial" w:hAnsi="Arial"/>
          <w:b w:val="0"/>
          <w:i w:val="0"/>
          <w:color w:val="000000"/>
          <w:sz w:val="22"/>
        </w:rPr>
        <w:t>Astrocytes showed the highest global ω (14.36) yet contributed 6 Strong signals, all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276" w:lineRule="auto" w:after="60"/>
        <w:ind w:firstLine="0"/>
      </w:pPr>
      <w:r>
        <w:rPr>
          <w:rFonts w:ascii="Arial" w:hAnsi="Arial"/>
          <w:b w:val="0"/>
          <w:i w:val="0"/>
          <w:color w:val="000000"/>
          <w:sz w:val="22"/>
        </w:rPr>
        <w:t>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276" w:lineRule="auto" w:after="60"/>
        <w:ind w:firstLine="0"/>
      </w:pPr>
      <w:r>
        <w:rPr>
          <w:rFonts w:ascii="Arial" w:hAnsi="Arial"/>
          <w:b w:val="0"/>
          <w:i w:val="0"/>
          <w:color w:val="000000"/>
          <w:sz w:val="22"/>
        </w:rPr>
        <w:t>Microglia contributed 10 Strong signals despite the prevailing view that adult microglia are maintained by local self-renewal with minimal inter-regional migration (23). We interpret these signals as developmental colonization residuals—transcriptomic boundaries between microglial populations that entered the brain through distinct embryonic entry routes. Shemer and Jung (37)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Menassa et al. (20) confirmed this spatiotemporal gradient in human fetal brain, showing that microglial density peaks in the cortical subplate at mid-gestation before declining as cells redistribute. Barry-Carroll et al. (40)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DTg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pPr>
        <w:pStyle w:val="Heading3"/>
        <w:spacing w:before="240" w:after="120"/>
      </w:pPr>
      <w:r>
        <w:rPr>
          <w:rFonts w:ascii="Arial" w:hAnsi="Arial"/>
          <w:color w:val="000000"/>
          <w:sz w:val="24"/>
          <w:b/>
        </w:rPr>
        <w:t>Vascular cells: blood-brain barrier regional identity</w:t>
      </w:r>
    </w:p>
    <w:p>
      <w:pPr>
        <w:spacing w:line="276" w:lineRule="auto" w:after="60"/>
        <w:ind w:firstLine="0"/>
      </w:pPr>
      <w:r>
        <w:rPr>
          <w:rFonts w:ascii="Arial" w:hAnsi="Arial"/>
          <w:b w:val="0"/>
          <w:i w:val="0"/>
          <w:color w:val="000000"/>
          <w:sz w:val="22"/>
        </w:rPr>
        <w:t>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functional divergence detectable only as modest deviations from the global vascular ω baseline.</w:t>
      </w:r>
    </w:p>
    <w:p>
      <w:pPr>
        <w:pStyle w:val="Heading3"/>
        <w:spacing w:before="240" w:after="120"/>
      </w:pPr>
      <w:r>
        <w:rPr>
          <w:rFonts w:ascii="Arial" w:hAnsi="Arial"/>
          <w:color w:val="000000"/>
          <w:sz w:val="24"/>
          <w:b/>
        </w:rPr>
        <w:t>Fibroblast: the sole postnatal migration signal</w:t>
      </w:r>
    </w:p>
    <w:p>
      <w:pPr>
        <w:spacing w:line="276" w:lineRule="auto" w:after="60"/>
        <w:ind w:firstLine="0"/>
      </w:pPr>
      <w:r>
        <w:rPr>
          <w:rFonts w:ascii="Arial" w:hAnsi="Arial"/>
          <w:b w:val="0"/>
          <w:i w:val="0"/>
          <w:color w:val="000000"/>
          <w:sz w:val="22"/>
        </w:rPr>
        <w:t>Perivascular fibroblasts contributed 1 Strong signal (A40 vs. SN, residual = 0.299)—the only Strong candidate among all 30 that can be parsimoniously attributed to postnatal cell migration.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pPr>
        <w:pStyle w:val="Heading1"/>
        <w:spacing w:before="240" w:after="120"/>
      </w:pPr>
      <w:r>
        <w:rPr>
          <w:rFonts w:ascii="Arial" w:hAnsi="Arial"/>
          <w:color w:val="000000"/>
          <w:sz w:val="32"/>
          <w:b/>
        </w:rPr>
        <w:t>Discussion</w:t>
      </w:r>
    </w:p>
    <w:p>
      <w:pPr>
        <w:spacing w:line="276" w:lineRule="auto" w:after="60"/>
        <w:ind w:firstLine="0"/>
      </w:pPr>
      <w:r>
        <w:rPr>
          <w:rFonts w:ascii="Arial" w:hAnsi="Arial"/>
          <w:b w:val="0"/>
          <w:i w:val="0"/>
          <w:color w:val="000000"/>
          <w:sz w:val="22"/>
        </w:rPr>
        <w:t>CKI introduces a conceptual shift in transcriptomic comparison: from measuring absolute distance to quantifying functional divergence relative to an internal baseline. The key insight is that housekeeping genes provide a built-in baseline reference, heuristically analogous to the use of synonymous sites in Ka/Ks analysis. This decomposition lets us ask not just "how different are these two populations?" but "how much of that difference is functionally informative versus baseline?" Importantly, CKI is a heuristic index, not a formal measure of Darwinian selection. Unlike Ka/Ks—where a shared mutation rate (μ) cancels mathematically in the ratio, leaving a pure selection signal—CKI lacks an analogous cancellation mechanism. Its ω = 1 does not carry population-genetic meaning of neutrality; rather, it is an empirically calibrated operational baseline (mean observational ω = 1.54 for equivalent populations). We use ω &lt; 1, ω ≈ 1, and ω &gt; 1 as convenient operational thresholds for functional constraint, baseline-level divergence, and enhanced divergence, respectively, not as claims about Darwinian selection regimes.</w:t>
      </w:r>
    </w:p>
    <w:p>
      <w:pPr>
        <w:spacing w:line="276" w:lineRule="auto" w:after="6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proves that CKI captures information that existing approaches miss.</w:t>
      </w:r>
    </w:p>
    <w:p>
      <w:pPr>
        <w:spacing w:line="276" w:lineRule="auto" w:after="60"/>
        <w:ind w:firstLine="0"/>
      </w:pPr>
      <w:r>
        <w:rPr>
          <w:rFonts w:ascii="Arial" w:hAnsi="Arial"/>
          <w:b w:val="0"/>
          <w:i w:val="0"/>
          <w:color w:val="000000"/>
          <w:sz w:val="22"/>
        </w:rPr>
        <w:t>The Ka/Ks analogy is heuristically productive but has important technical limitations that distinguish CKI from formal molecular evolution models. First, Ka/Ks operates on DNA sequence alignments with explicit codon models (21); CKI operates on continuous expression vectors without an evolutionary substitution model. Second, the baseline reference in Ka/Ks has a mechanistic basis in the genetic code (synonymous sites), whereas HK genes are defined empirically by data-driven criteria and may be subject to stabilizing selection on expression levels (41,42)—a possibility we acknowledge and partly address through sensitivity analysis showing robustness to alternative HK definitions (r &gt; 0.95). Third, CKI currently lacks a formal phylogenetic framework analogous to Ornstein-Uhlenbeck models (43,44) that dominate expression evolution analysis. Integrating CKI’s baseline-normalized decomposition with OU-based selection strength estimation is a promising direction for future theoretical development. Fourth, CKI ω is computed on different gene sets per comparison (pairwise DE genes for k_f), which limits cross-comparison absolute interpretability; users should compare ω ranks rather than absolute values across datasets. Despite these caveats, CKI’s heuristic framework provides a practical tool for identifying functionally informative transcriptomic divergence that standard metrics systematically miss.</w:t>
      </w:r>
    </w:p>
    <w:p>
      <w:pPr>
        <w:spacing w:line="276" w:lineRule="auto" w:after="60"/>
        <w:ind w:firstLine="0"/>
      </w:pPr>
      <w:r>
        <w:rPr>
          <w:rFonts w:ascii="Arial" w:hAnsi="Arial"/>
          <w:b w:val="0"/>
          <w:i w:val="0"/>
          <w:color w:val="000000"/>
          <w:sz w:val="22"/>
        </w:rPr>
        <w:t>CKI complements rather than replaces existing methods. SAMap (15) and SATURN (3) excel at cross-species alignment; CACIMAR (22) provides conservation scoring that could be reinterpreted through the CKI lens. More broadly, CKI provides a principled null model for any transcriptomic comparison: before concluding that two populations are meaningfully different, ask whether the difference exceeds baseline expectation.</w:t>
      </w:r>
    </w:p>
    <w:p>
      <w:pPr>
        <w:spacing w:line="276" w:lineRule="auto" w:after="60"/>
        <w:ind w:firstLine="0"/>
      </w:pPr>
      <w:r>
        <w:rPr>
          <w:rFonts w:ascii="Arial" w:hAnsi="Arial"/>
          <w:b w:val="0"/>
          <w:i w:val="0"/>
          <w:color w:val="000000"/>
          <w:sz w:val="22"/>
        </w:rP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pPr>
        <w:spacing w:line="276" w:lineRule="auto" w:after="60"/>
        <w:ind w:firstLine="0"/>
      </w:pPr>
      <w:r>
        <w:rPr>
          <w:rFonts w:ascii="Arial" w:hAnsi="Arial"/>
          <w:b w:val="0"/>
          <w:i w:val="0"/>
          <w:color w:val="000000"/>
          <w:sz w:val="22"/>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reflect four distinct biological mechanisms: (i) developmental origin heterogeneity—oligodendrocyte dorsal/ventral origin differences (35) explain all 10 oligodendrocyte Strong signals as cortex vs. thalamus/brainstem boundaries; (ii) embryonic colonization route discontinuities—microglial rostral-to-caudal colonization waves (20,37,40) create transcriptomic boundaries at the forebrain-midbrain interface, with the inferior colliculus identified as a candidate contact zone; and (iii) compartmentalized developmental astrogenesis and vascular specification (18,39); and (iv) postnatal cell migration—the perivascular fibroblast A40-SN signal is consistent with known postnatal meningeal-to-parenchymal fibroblast migration (38). Importantly, OPCs—the most actively migrating cells in the adult CNS (13,17)—yielded 0 Strong signals among 5,671 comparisons, providing a powerful orthogonal validation that the residual model specifically detects fixed developmental signatures rather than ongoing cell motility. Together, these results demonstrate that CKI detects persistent transcriptional signatures of developmental history—origin, colonization route, specification, and in one case, postnatal migration—embedded in adult transcriptomic data. This reframing opens new applications for adult single-cell atlases as archives of developmental information.</w:t>
      </w:r>
    </w:p>
    <w:p>
      <w:pPr>
        <w:spacing w:line="276" w:lineRule="auto" w:after="60"/>
        <w:ind w:firstLine="0"/>
      </w:pPr>
      <w:r>
        <w:rPr>
          <w:rFonts w:ascii="Arial" w:hAnsi="Arial"/>
          <w:b w:val="0"/>
          <w:i w:val="0"/>
          <w:color w:val="000000"/>
          <w:sz w:val="22"/>
        </w:rPr>
        <w:t>Limitations should be noted. First, CKI currently operates at the pseudobulk level; single-cell extensions would need to address sparsity and dropout. Second, the choice of HK gene set influences results; CKI uses data-driven auto-detection (combined detection-rate and CV filtering) as the universal default, with optional HRT Atlas enhancement (4) for human and mouse. Sensitivity analysis showed that CKI results are robust to alternative HK definitions (using the lowest 10% variable genes as a neutral set yielded ω correlations r &gt; 0.95). Third, TCGA analysis was limited to bulk RNA-seq resolution; single-cell or spatial transcriptomic data would enable finer perturbation quantification. Fourth, the brain analysis uses post-mortem tissue; developmental time courses would provide stronger evidence for migration inference.</w:t>
      </w:r>
    </w:p>
    <w:p>
      <w:pPr>
        <w:spacing w:line="276" w:lineRule="auto" w:after="6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(v0.3.2) and all analysis notebooks are available at https://github.com/zhanglknt/CKI-cell-type-identification under the MIT License.</w:t>
      </w:r>
    </w:p>
    <w:p>
      <w:pPr>
        <w:pStyle w:val="Heading1"/>
        <w:spacing w:before="240" w:after="120"/>
      </w:pPr>
      <w:r>
        <w:rPr>
          <w:rFonts w:ascii="Arial" w:hAnsi="Arial"/>
          <w:color w:val="000000"/>
          <w:sz w:val="32"/>
          <w:b/>
        </w:rPr>
        <w:t>Data availability</w:t>
      </w:r>
    </w:p>
    <w:p>
      <w:pPr>
        <w:spacing w:line="276" w:lineRule="auto" w:after="60"/>
        <w:ind w:firstLine="0"/>
      </w:pPr>
      <w:r>
        <w:rPr>
          <w:rFonts w:ascii="Arial" w:hAnsi="Arial"/>
          <w:b w:val="0"/>
          <w:i w:val="0"/>
          <w:color w:val="000000"/>
          <w:sz w:val="22"/>
        </w:rP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(v0.3.2, MIT License) is publicly available at https://github.com/zhanglknt/CKI-cell-type-identification (tag v0.3.2). A permanent archival copy has been deposited at Zenodo (DOI: 10.5281/zenodo.15670808). All analysis notebooks and processed data matrices are included in the Supplementary Data.</w:t>
      </w:r>
    </w:p>
    <w:p>
      <w:pPr>
        <w:pStyle w:val="Heading1"/>
        <w:spacing w:before="240" w:after="120"/>
      </w:pPr>
      <w:r>
        <w:rPr>
          <w:rFonts w:ascii="Arial" w:hAnsi="Arial"/>
          <w:color w:val="000000"/>
          <w:sz w:val="32"/>
          <w:b/>
        </w:rPr>
        <w:t>Supplementary Data</w:t>
      </w:r>
    </w:p>
    <w:p>
      <w:pPr>
        <w:spacing w:line="276" w:lineRule="auto" w:after="60"/>
        <w:ind w:firstLine="0"/>
      </w:pPr>
      <w:r>
        <w:rPr>
          <w:rFonts w:ascii="Arial" w:hAnsi="Arial"/>
          <w:b w:val="0"/>
          <w:i w:val="0"/>
          <w:color w:val="000000"/>
          <w:sz w:val="22"/>
        </w:rPr>
        <w:t>Supplementary Data are available at NAR Online.</w:t>
      </w:r>
    </w:p>
    <w:p>
      <w:pPr>
        <w:pStyle w:val="Heading1"/>
        <w:spacing w:before="240" w:after="120"/>
      </w:pPr>
      <w:r>
        <w:rPr>
          <w:rFonts w:ascii="Arial" w:hAnsi="Arial"/>
          <w:color w:val="000000"/>
          <w:sz w:val="32"/>
          <w:b/>
        </w:rPr>
        <w:t>Acknowledgements</w:t>
      </w:r>
    </w:p>
    <w:p>
      <w:pPr>
        <w:spacing w:line="276" w:lineRule="auto" w:after="60"/>
        <w:ind w:firstLine="0"/>
      </w:pPr>
      <w:r>
        <w:rPr>
          <w:rFonts w:ascii="Arial" w:hAnsi="Arial"/>
          <w:b w:val="0"/>
          <w:i w:val="0"/>
          <w:color w:val="000000"/>
          <w:sz w:val="22"/>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Author contributions</w:t>
      </w:r>
    </w:p>
    <w:p>
      <w:pPr>
        <w:spacing w:line="276" w:lineRule="auto" w:after="60"/>
        <w:ind w:firstLine="0"/>
      </w:pPr>
      <w:r>
        <w:rPr>
          <w:rFonts w:ascii="Arial" w:hAnsi="Arial"/>
          <w:b w:val="0"/>
          <w:i w:val="0"/>
          <w:color w:val="000000"/>
          <w:sz w:val="22"/>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1"/>
        <w:spacing w:before="240" w:after="120"/>
      </w:pPr>
      <w:r>
        <w:rPr>
          <w:rFonts w:ascii="Arial" w:hAnsi="Arial"/>
          <w:color w:val="000000"/>
          <w:sz w:val="32"/>
          <w:b/>
        </w:rPr>
        <w:t>Funding</w:t>
      </w:r>
    </w:p>
    <w:p>
      <w:pPr>
        <w:spacing w:line="276" w:lineRule="auto" w:after="60"/>
        <w:ind w:firstLine="0"/>
      </w:pPr>
      <w:r>
        <w:rPr>
          <w:rFonts w:ascii="Arial" w:hAnsi="Arial"/>
          <w:b w:val="0"/>
          <w:i w:val="0"/>
          <w:color w:val="000000"/>
          <w:sz w:val="22"/>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1"/>
        <w:spacing w:before="240" w:after="120"/>
      </w:pPr>
      <w:r>
        <w:rPr>
          <w:rFonts w:ascii="Arial" w:hAnsi="Arial"/>
          <w:color w:val="000000"/>
          <w:sz w:val="32"/>
          <w:b/>
        </w:rPr>
        <w:t>Conflict of interest</w:t>
      </w:r>
    </w:p>
    <w:p>
      <w:pPr>
        <w:spacing w:line="276" w:lineRule="auto" w:after="60"/>
        <w:ind w:firstLine="0"/>
      </w:pPr>
      <w:r>
        <w:rPr>
          <w:rFonts w:ascii="Arial" w:hAnsi="Arial"/>
          <w:b w:val="0"/>
          <w:i w:val="0"/>
          <w:color w:val="000000"/>
          <w:sz w:val="22"/>
        </w:rPr>
        <w:t>The authors declare no competing interests.</w:t>
      </w:r>
    </w:p>
    <w:p>
      <w:pPr>
        <w:pStyle w:val="Heading1"/>
        <w:spacing w:before="240" w:after="120"/>
      </w:pPr>
      <w:r>
        <w:rPr>
          <w:rFonts w:ascii="Arial" w:hAnsi="Arial"/>
          <w:color w:val="000000"/>
          <w:sz w:val="32"/>
          <w:b/>
        </w:rPr>
        <w:t>Figure legends</w:t>
      </w:r>
    </w:p>
    <w:p>
      <w:pPr>
        <w:spacing w:line="276" w:lineRule="auto" w:after="6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1,000 permutations) with median indicated by dashed line. (d) Scatter plot of k_n vs. k_f, showing that functional variation dominates neutral baseline. (e) ω distribution with ω = 1 (neutral) marked by dashed line.</w:t>
      </w:r>
    </w:p>
    <w:p>
      <w:pPr>
        <w:spacing w:line="276" w:lineRule="auto" w:after="6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276" w:lineRule="auto" w:after="60"/>
        <w:ind w:firstLine="0"/>
      </w:pPr>
      <w:r>
        <w:rPr>
          <w:rFonts w:ascii="Arial" w:hAnsi="Arial"/>
          <w:b w:val="0"/>
          <w:i w:val="0"/>
          <w:color w:val="000000"/>
          <w:sz w:val="22"/>
        </w:rPr>
        <w:t>Figure 3. CKI captures independent information. (a) Spearman correlation heatmap of five metrics on n = 4,851 Tabula Sapiens pairs. CKI ω is negatively correlated with all four standard metrics. Standard metrics form a positive cluster. (b) Scatter plot of CKI ω vs. k_n (neutral rate) on Tabula Sapiens data (n = 4,851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276" w:lineRule="auto" w:after="60"/>
        <w:ind w:firstLine="0"/>
      </w:pPr>
      <w:r>
        <w:rPr>
          <w:rFonts w:ascii="Arial" w:hAnsi="Arial"/>
          <w:b w:val="0"/>
          <w:i w:val="0"/>
          <w:color w:val="000000"/>
          <w:sz w:val="22"/>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276" w:lineRule="auto" w:after="60"/>
        <w:ind w:firstLine="0"/>
      </w:pPr>
      <w:r>
        <w:rPr>
          <w:rFonts w:ascii="Arial" w:hAnsi="Arial"/>
          <w:b w:val="0"/>
          <w:i w:val="0"/>
          <w:color w:val="000000"/>
          <w:sz w:val="22"/>
        </w:rPr>
        <w:t>Figure 5. Cross-organ cell-type conservation. (a) CKI ω ranking of 38 shared cell types between human and mouse.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276" w:lineRule="auto" w:after="60"/>
        <w:ind w:firstLine="0"/>
      </w:pPr>
      <w:r>
        <w:rPr>
          <w:rFonts w:ascii="Arial" w:hAnsi="Arial"/>
          <w:b w:val="0"/>
          <w:i w:val="0"/>
          <w:color w:val="000000"/>
          <w:sz w:val="22"/>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pair median ω &gt; 20)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Supplementary Figure legends</w:t>
      </w:r>
    </w:p>
    <w:p>
      <w:pPr>
        <w:spacing w:line="276" w:lineRule="auto" w:after="60"/>
        <w:ind w:firstLine="0"/>
      </w:pPr>
      <w:r>
        <w:rPr>
          <w:rFonts w:ascii="Arial" w:hAnsi="Arial"/>
          <w:b w:val="0"/>
          <w:i w:val="0"/>
          <w:color w:val="000000"/>
          <w:sz w:val="22"/>
        </w:rPr>
        <w:t>Supplementary Figure S1.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276" w:lineRule="auto" w:after="60"/>
        <w:ind w:firstLine="0"/>
      </w:pPr>
      <w:r>
        <w:rPr>
          <w:rFonts w:ascii="Arial" w:hAnsi="Arial"/>
          <w:b w:val="0"/>
          <w:i w:val="0"/>
          <w:color w:val="000000"/>
          <w:sz w:val="22"/>
        </w:rPr>
        <w:t>Supplementary Figure S2.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4,851 pairs).</w:t>
      </w:r>
    </w:p>
    <w:p>
      <w:pPr>
        <w:spacing w:line="276" w:lineRule="auto" w:after="60"/>
        <w:ind w:firstLine="0"/>
      </w:pPr>
      <w:r>
        <w:rPr>
          <w:rFonts w:ascii="Arial" w:hAnsi="Arial"/>
          <w:b w:val="0"/>
          <w:i w:val="0"/>
          <w:color w:val="000000"/>
          <w:sz w:val="22"/>
        </w:rPr>
        <w:t>Supplementary Figure S3. TCGA per-cancer matrices. Pairwise ω matrices for six cancer types (BRCA, KIRC, LIHC, LUAD, COAD, HNSC) showing tissue-level transcriptomic divergence structure within each cancer cohort.</w:t>
      </w:r>
    </w:p>
    <w:p>
      <w:pPr>
        <w:spacing w:line="276" w:lineRule="auto" w:after="60"/>
        <w:ind w:firstLine="0"/>
      </w:pPr>
      <w:r>
        <w:rPr>
          <w:rFonts w:ascii="Arial" w:hAnsi="Arial"/>
          <w:b w:val="0"/>
          <w:i w:val="0"/>
          <w:color w:val="000000"/>
          <w:sz w:val="22"/>
        </w:rPr>
        <w:t>Supplementary Figure S4. Method comparison performance. ROC-AUC bar plot for cell-type classification across five metrics.</w:t>
      </w:r>
    </w:p>
    <w:p>
      <w:pPr>
        <w:spacing w:line="276" w:lineRule="auto" w:after="60"/>
        <w:ind w:firstLine="0"/>
      </w:pPr>
      <w:r>
        <w:rPr>
          <w:rFonts w:ascii="Arial" w:hAnsi="Arial"/>
          <w:b w:val="0"/>
          <w:i w:val="0"/>
          <w:color w:val="000000"/>
          <w:sz w:val="22"/>
        </w:rPr>
        <w:t>Supplementary Figure S5. Cross-organ conservation raw data. Complete table of 59 same-CT cross-organ pairs (Supplementary Table S2).</w:t>
      </w:r>
    </w:p>
    <w:p>
      <w:pPr>
        <w:spacing w:line="276" w:lineRule="auto" w:after="60"/>
        <w:ind w:firstLine="0"/>
      </w:pPr>
      <w:r>
        <w:rPr>
          <w:rFonts w:ascii="Arial" w:hAnsi="Arial"/>
          <w:b w:val="0"/>
          <w:i w:val="0"/>
          <w:color w:val="000000"/>
          <w:sz w:val="22"/>
        </w:rPr>
        <w:t>Supplementary Figure S6.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showing no significant correlation, ruling out sampling bias. (d) Region-region ω matrix for astrocytes across brain regions, with hierarchical clustering. (e) Top migration candidates by tier (Strong, Moderate, Weak), ranked by multiplicative residual.</w:t>
      </w:r>
    </w:p>
    <w:p>
      <w:pPr>
        <w:spacing w:line="276" w:lineRule="auto" w:after="60"/>
        <w:ind w:firstLine="0"/>
      </w:pPr>
      <w:r>
        <w:rPr>
          <w:rFonts w:ascii="Arial" w:hAnsi="Arial"/>
          <w:b w:val="0"/>
          <w:i w:val="0"/>
          <w:color w:val="000000"/>
          <w:sz w:val="22"/>
        </w:rPr>
        <w:t>Supplementary Figure S7.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DO (developmental origin), CR (colonization route), DS (developmental specification), or PM (postnatal migration). (d) Migration candidates by cell type and confidence tier, showing tier distribution across all 10 non-neuronal cell classes.</w:t>
      </w:r>
    </w:p>
    <w:p>
      <w:pPr>
        <w:pStyle w:val="Heading1"/>
        <w:spacing w:before="240" w:after="120"/>
      </w:pPr>
      <w:r>
        <w:rPr>
          <w:rFonts w:ascii="Arial" w:hAnsi="Arial"/>
          <w:color w:val="000000"/>
          <w:sz w:val="32"/>
          <w:b/>
        </w:rPr>
        <w:t>References</w:t>
      </w:r>
    </w:p>
    <w:p>
      <w:pPr>
        <w:spacing w:line="276" w:lineRule="auto" w:after="40"/>
      </w:pPr>
      <w:r>
        <w:rPr>
          <w:rFonts w:ascii="Arial" w:hAnsi="Arial"/>
          <w:color w:val="000000"/>
          <w:sz w:val="20"/>
        </w:rPr>
        <w:t>Korsunsky,I., Millard,N., Fan,J., Slowikowski,K., Zhang,F., Wei,K., Baglaenko,Y., Brenner,M., Loh,P.R. and Raychaudhuri,S. (2019) Fast, sensitive and accurate integration of single-cell data with Harmony. *Nat. Methods*, **16**, 1289–1296.</w:t>
      </w:r>
    </w:p>
    <w:p>
      <w:pPr>
        <w:spacing w:line="276" w:lineRule="auto" w:after="40"/>
      </w:pPr>
      <w:r>
        <w:rPr>
          <w:rFonts w:ascii="Arial" w:hAnsi="Arial"/>
          <w:color w:val="000000"/>
          <w:sz w:val="20"/>
        </w:rPr>
        <w:t>Lopez,R., Regier,J., Cole,M.B., Jordan,M.I. and Yosef,N. (2018) Deep generative modeling for single-cell transcriptomics. *Nat. Methods*, **15**, 1053–1058.</w:t>
      </w:r>
    </w:p>
    <w:p>
      <w:pPr>
        <w:spacing w:line="276" w:lineRule="auto" w:after="40"/>
      </w:pPr>
      <w:r>
        <w:rPr>
          <w:rFonts w:ascii="Arial" w:hAnsi="Arial"/>
          <w:color w:val="000000"/>
          <w:sz w:val="20"/>
        </w:rPr>
        <w:t>Rosen,Y., Brbic,M., Roohani,Y., Swanson,K., Li,Z. and Leskovec,J. (2024) Toward universal cell embeddings: integrating single-cell RNA-seq datasets across species with SATURN. *Nat. Methods*, **21**, 1492–1500.</w:t>
      </w:r>
    </w:p>
    <w:p>
      <w:pPr>
        <w:spacing w:line="276" w:lineRule="auto" w:after="40"/>
      </w:pPr>
      <w:r>
        <w:rPr>
          <w:rFonts w:ascii="Arial" w:hAnsi="Arial"/>
          <w:color w:val="000000"/>
          <w:sz w:val="20"/>
        </w:rPr>
        <w:t>Hounkpel,B., Chen,J., Gosline,S.J.C., Domeniconi,C. and Jiang,D. (2021) HRT Atlas v1.0 database: redefining human and mouse housekeeping genes and candidate reference transcripts by mining massive RNA-seq datasets. *Nucleic Acids Res.*, **49**, D947–D955.</w:t>
      </w:r>
    </w:p>
    <w:p>
      <w:pPr>
        <w:spacing w:line="276" w:lineRule="auto" w:after="40"/>
      </w:pPr>
      <w:r>
        <w:rPr>
          <w:rFonts w:ascii="Arial" w:hAnsi="Arial"/>
          <w:color w:val="000000"/>
          <w:sz w:val="20"/>
        </w:rPr>
        <w:t>Tabula Muris Consortium (2018) Single-cell transcriptomics of 20 mouse organs creates a Tabula Muris. *Nature*, **562**, 367–372.</w:t>
      </w:r>
    </w:p>
    <w:p>
      <w:pPr>
        <w:spacing w:line="276" w:lineRule="auto" w:after="40"/>
      </w:pPr>
      <w:r>
        <w:rPr>
          <w:rFonts w:ascii="Arial" w:hAnsi="Arial"/>
          <w:color w:val="000000"/>
          <w:sz w:val="20"/>
        </w:rPr>
        <w:t>Tabula Sapiens Consortium (2022) The Tabula Sapiens: a multiple-organ, single-cell transcriptomic atlas of humans. *Science*, **376**, eabl4896.</w:t>
      </w:r>
    </w:p>
    <w:p>
      <w:pPr>
        <w:spacing w:line="276" w:lineRule="auto" w:after="40"/>
      </w:pPr>
      <w:r>
        <w:rPr>
          <w:rFonts w:ascii="Arial" w:hAnsi="Arial"/>
          <w:color w:val="000000"/>
          <w:sz w:val="20"/>
        </w:rPr>
        <w:t>Cancer Genome Atlas Research Network (2014) Comprehensive molecular profiling of lung adenocarcinoma. *Nature*, **511**, 543–550.</w:t>
      </w:r>
    </w:p>
    <w:p>
      <w:pPr>
        <w:spacing w:line="276" w:lineRule="auto" w:after="40"/>
      </w:pPr>
      <w:r>
        <w:rPr>
          <w:rFonts w:ascii="Arial" w:hAnsi="Arial"/>
          <w:color w:val="000000"/>
          <w:sz w:val="20"/>
        </w:rPr>
        <w:t>Cancer Genome Atlas Network (2012) Comprehensive molecular portraits of human breast tumours. *Nature*, **490**, 61–70.</w:t>
      </w:r>
    </w:p>
    <w:p>
      <w:pPr>
        <w:spacing w:line="276" w:lineRule="auto" w:after="40"/>
      </w:pPr>
      <w:r>
        <w:rPr>
          <w:rFonts w:ascii="Arial" w:hAnsi="Arial"/>
          <w:color w:val="000000"/>
          <w:sz w:val="20"/>
        </w:rPr>
        <w:t>Siletti,K., Hodge,R., Mossi Albiach,A., Lee,K.W., Ding,S.L., Hu,L., Lönnerberg,P., Bakken,T., Casper,T., Clark,M. et al. (2023) Transcriptomic diversity of cell types across the adult human brain. *Science*, **382**, eadl7046.</w:t>
      </w:r>
    </w:p>
    <w:p>
      <w:pPr>
        <w:spacing w:line="276" w:lineRule="auto" w:after="40"/>
      </w:pPr>
      <w:r>
        <w:rPr>
          <w:rFonts w:ascii="Arial" w:hAnsi="Arial"/>
          <w:color w:val="000000"/>
          <w:sz w:val="20"/>
        </w:rPr>
        <w:t>Edmondson,H.A. and Steiner,P.E. (1954) Primary carcinoma of the liver: a study of 100 cases among 48,900 necropsies. *Cancer*, **7**, 462–503.</w:t>
      </w:r>
    </w:p>
    <w:p>
      <w:pPr>
        <w:spacing w:line="276" w:lineRule="auto" w:after="40"/>
      </w:pPr>
      <w:r>
        <w:rPr>
          <w:rFonts w:ascii="Arial" w:hAnsi="Arial"/>
          <w:color w:val="000000"/>
          <w:sz w:val="20"/>
        </w:rPr>
        <w:t>Perou,C.M., Sørlie,T., Eisen,M.B., van de Rijn,M., Jeffrey,S.S., Rees,C.A., Pollack,J.R., Ross,D.T., Johnsen,H., Akslen,L.A. et al. (2000) Molecular portraits of human breast tumours. *Nature*, **406**, 747–752.</w:t>
      </w:r>
    </w:p>
    <w:p>
      <w:pPr>
        <w:spacing w:line="276" w:lineRule="auto" w:after="40"/>
      </w:pPr>
      <w:r>
        <w:rPr>
          <w:rFonts w:ascii="Arial" w:hAnsi="Arial"/>
          <w:color w:val="000000"/>
          <w:sz w:val="20"/>
        </w:rPr>
        <w:t>Parker,J.S., Mullins,M., Cheang,M.C.U., Leung,S., Voduc,D., Vickery,T., Davies,S., Fauron,C., He,X., Hu,Z. et al. (2009) Supervised risk predictor of breast cancer based on intrinsic subtypes. *J. Clin. Oncol.*, **27**, 1160–1167.</w:t>
      </w:r>
    </w:p>
    <w:p>
      <w:pPr>
        <w:spacing w:line="276" w:lineRule="auto" w:after="40"/>
      </w:pPr>
      <w:r>
        <w:rPr>
          <w:rFonts w:ascii="Arial" w:hAnsi="Arial"/>
          <w:color w:val="000000"/>
          <w:sz w:val="20"/>
        </w:rPr>
        <w:t>Tsai,H.H., Niu,J., Munji,R., Davalos,D., Chang,J., Zhang,H., Tien,A.C., Kuo,C.J., Chan,J.R., Daneman,R. et al. (2016) Oligodendrocyte precursors migrate along vasculature in the developing nervous system. *Science*, **351**, 379–384.</w:t>
      </w:r>
    </w:p>
    <w:p>
      <w:pPr>
        <w:spacing w:line="276" w:lineRule="auto" w:after="40"/>
      </w:pPr>
      <w:r>
        <w:rPr>
          <w:rFonts w:ascii="Arial" w:hAnsi="Arial"/>
          <w:color w:val="000000"/>
          <w:sz w:val="20"/>
        </w:rPr>
        <w:t>Cerami,E., Gao,J., Dogrusoz,U., Gross,B.E., Sumer,S.O., Aksoy,B.A., Jacobsen,A., Byrne,C.J., Heuer,M.L., Larsson,E. et al. (2012) The cBio cancer genomics portal: an open platform for exploring multidimensional cancer genomics data. *Cancer Discov.*, **2**, 401–404.</w:t>
      </w:r>
    </w:p>
    <w:p>
      <w:pPr>
        <w:spacing w:line="276" w:lineRule="auto" w:after="40"/>
      </w:pPr>
      <w:r>
        <w:rPr>
          <w:rFonts w:ascii="Arial" w:hAnsi="Arial"/>
          <w:color w:val="000000"/>
          <w:sz w:val="20"/>
        </w:rPr>
        <w:t>Tarashansky,A.J., Musser,J.M., Khariton,M., Li,P., Arendt,D., Quake,S.R. and Wang,B. (2021) Mapping single-cell atlases throughout Metazoa unravels cell type evolution. *eLife*, **10**, e66747.</w:t>
      </w:r>
    </w:p>
    <w:p>
      <w:pPr>
        <w:spacing w:line="276" w:lineRule="auto" w:after="40"/>
      </w:pPr>
      <w:r>
        <w:rPr>
          <w:rFonts w:ascii="Arial" w:hAnsi="Arial"/>
          <w:color w:val="000000"/>
          <w:sz w:val="20"/>
        </w:rPr>
        <w:t>Regev,A., Teichmann,S.A., Lander,E.S., Amit,I., Benoist,C., Birney,E., Bodenmiller,B., Campbell,P., Carninci,P., Clatworthy,M. et al. (2017) The Human Cell Atlas. *eLife*, **6**, e27041.</w:t>
      </w:r>
    </w:p>
    <w:p>
      <w:pPr>
        <w:spacing w:line="276" w:lineRule="auto" w:after="40"/>
      </w:pPr>
      <w:r>
        <w:rPr>
          <w:rFonts w:ascii="Arial" w:hAnsi="Arial"/>
          <w:color w:val="000000"/>
          <w:sz w:val="20"/>
        </w:rPr>
        <w:t>Akay,L.A., Effenberger,A.H. and Tsai,L.H. (2022) Astrocyte endfoot formation controls the termination of oligodendrocyte precursor cell perivascular migration. *Neuron*, **111**, 190–201.e8.</w:t>
      </w:r>
    </w:p>
    <w:p>
      <w:pPr>
        <w:spacing w:line="276" w:lineRule="auto" w:after="40"/>
      </w:pPr>
      <w:r>
        <w:rPr>
          <w:rFonts w:ascii="Arial" w:hAnsi="Arial"/>
          <w:color w:val="000000"/>
          <w:sz w:val="20"/>
        </w:rPr>
        <w:t>Endo,F., Kasai,A., Cui,W., Tanaka,K.F. and Hashimoto,H. (2024) Astrocyte allocation during brain development is controlled by Tcf4-mediated fate restriction. *EMBO J.*, **43**, 4423–4447.</w:t>
      </w:r>
    </w:p>
    <w:p>
      <w:pPr>
        <w:spacing w:line="276" w:lineRule="auto" w:after="40"/>
      </w:pPr>
      <w:r>
        <w:rPr>
          <w:rFonts w:ascii="Arial" w:hAnsi="Arial"/>
          <w:color w:val="000000"/>
          <w:sz w:val="20"/>
        </w:rPr>
        <w:t>Yang,L., Zhao,Z., Li,Y., Wang,J., Chen,X. and Liu,Z. (2024) Single-cell multi-omics analysis of lineage development and spatial organization in the human fetal cerebellum. *Cell Discov.*, **10**, 25.</w:t>
      </w:r>
    </w:p>
    <w:p>
      <w:pPr>
        <w:spacing w:line="276" w:lineRule="auto" w:after="40"/>
      </w:pPr>
      <w:r>
        <w:rPr>
          <w:rFonts w:ascii="Arial" w:hAnsi="Arial"/>
          <w:color w:val="000000"/>
          <w:sz w:val="20"/>
        </w:rPr>
        <w:t>Menassa,D.A., Muntslag,T.A.O., Martin-Estebané,M., Barry-Carroll,L., Chapman,M.A., Adorjan,I., Tyler,T., Turnbull,B., Rose-Zerilli,M.J.J., Nicoll,J.A.R. et al. (2022) The spatiotemporal dynamics of microglia across the human lifespan. *Dev. Cell*, **57**, 2127–2139.e6.</w:t>
      </w:r>
    </w:p>
    <w:p>
      <w:pPr>
        <w:spacing w:line="276" w:lineRule="auto" w:after="40"/>
      </w:pPr>
      <w:r>
        <w:rPr>
          <w:rFonts w:ascii="Arial" w:hAnsi="Arial"/>
          <w:color w:val="000000"/>
          <w:sz w:val="20"/>
        </w:rPr>
        <w:t>Yang,Z. (2007) PAML 4: phylogenetic analysis by maximum likelihood. *Mol. Biol. Evol.*, **24**, 1586–1591.</w:t>
      </w:r>
    </w:p>
    <w:p>
      <w:pPr>
        <w:spacing w:line="276" w:lineRule="auto" w:after="40"/>
      </w:pPr>
      <w:r>
        <w:rPr>
          <w:rFonts w:ascii="Arial" w:hAnsi="Arial"/>
          <w:color w:val="000000"/>
          <w:sz w:val="20"/>
        </w:rPr>
        <w:t>Jiang,J., Li,J., Huang,Y., Wang,Y., Chen,L. and Zhang,X. (2024) CACIMAR: cross-species analysis of cell identities, markers, regulations, and interactions. *Brief. Bioinform.*, **25**, bbae283.</w:t>
      </w:r>
    </w:p>
    <w:p>
      <w:pPr>
        <w:spacing w:line="276" w:lineRule="auto" w:after="40"/>
      </w:pPr>
      <w:r>
        <w:rPr>
          <w:rFonts w:ascii="Arial" w:hAnsi="Arial"/>
          <w:color w:val="000000"/>
          <w:sz w:val="20"/>
        </w:rPr>
        <w:t>Tan,Y.L., Yuan,Y. and Tian,L. (2020) Microglial regional heterogeneity and its role in the brain. *Mol. Psychiatry*, **25**, 351–367.</w:t>
      </w:r>
    </w:p>
    <w:p>
      <w:pPr>
        <w:spacing w:line="276" w:lineRule="auto" w:after="40"/>
      </w:pPr>
      <w:r>
        <w:rPr>
          <w:rFonts w:ascii="Arial" w:hAnsi="Arial"/>
          <w:color w:val="000000"/>
          <w:sz w:val="20"/>
        </w:rPr>
        <w:t>Storey,J.D. and Tibshirani,R. (2003) Statistical significance for genomewide studies. *Proc. Natl. Acad. Sci. USA*, **100**, 9440–9445.</w:t>
      </w:r>
    </w:p>
    <w:p>
      <w:pPr>
        <w:spacing w:line="276" w:lineRule="auto" w:after="40"/>
      </w:pPr>
      <w:r>
        <w:rPr>
          <w:rFonts w:ascii="Arial" w:hAnsi="Arial"/>
          <w:color w:val="000000"/>
          <w:sz w:val="20"/>
        </w:rPr>
        <w:t>Wolf,F.A., Angerer,P. and Theis,F.J. (2018) SCANPY: large-scale single-cell gene expression data analysis. *Genome Biol.*, **19**, 15.</w:t>
      </w:r>
    </w:p>
    <w:p>
      <w:pPr>
        <w:spacing w:line="276" w:lineRule="auto" w:after="40"/>
      </w:pPr>
      <w:r>
        <w:rPr>
          <w:rFonts w:ascii="Arial" w:hAnsi="Arial"/>
          <w:color w:val="000000"/>
          <w:sz w:val="20"/>
        </w:rPr>
        <w:t>Hao,Y., Hao,S., Andersen-Nissen,E., Mauck,W.M. 3rd, Zheng,S., Butler,A., Lee,M.J., Wilk,A.J., Darby,C., Zager,M. et al. (2021) Integrated analysis of multimodal single-cell data. *Cell*, **184**, 3573–3587.</w:t>
      </w:r>
    </w:p>
    <w:p>
      <w:pPr>
        <w:spacing w:line="276" w:lineRule="auto" w:after="40"/>
      </w:pPr>
      <w:r>
        <w:rPr>
          <w:rFonts w:ascii="Arial" w:hAnsi="Arial"/>
          <w:color w:val="000000"/>
          <w:sz w:val="20"/>
        </w:rPr>
        <w:t>Hao,Y., Stuart,T., Kowalski,M.H., Choudhary,S., Hoffman,P., Hartman,A., Srivastava,A., Molla,G., Madad,S., Fernandez-Granda,C. et al. (2024) Dictionary learning for integrative, multimodal and scalable single-cell analysis. *Nat. Biotechnol.*, **42**, 293–304.</w:t>
      </w:r>
    </w:p>
    <w:p>
      <w:pPr>
        <w:spacing w:line="276" w:lineRule="auto" w:after="40"/>
      </w:pPr>
      <w:r>
        <w:rPr>
          <w:rFonts w:ascii="Arial" w:hAnsi="Arial"/>
          <w:color w:val="000000"/>
          <w:sz w:val="20"/>
        </w:rPr>
        <w:t>Weinstein,J.N., Collisson,E.A., Mills,G.B., Shaw,K.R., Ozenberger,B.A., Ellrott,K., Shmulevich,I., Sander,C. and Stuart,J.M. (2013) The Cancer Genome Atlas Pan-Cancer analysis project. *Nat. Genet.*, **45**, 1113–1120.</w:t>
      </w:r>
    </w:p>
    <w:p>
      <w:pPr>
        <w:spacing w:line="276" w:lineRule="auto" w:after="40"/>
      </w:pPr>
      <w:r>
        <w:rPr>
          <w:rFonts w:ascii="Arial" w:hAnsi="Arial"/>
          <w:color w:val="000000"/>
          <w:sz w:val="20"/>
        </w:rPr>
        <w:t>Colaprico,A., Silva,T.C., Olsen,C., Garofano,L., Cava,C., Garolini,D., Sabedot,T.S., Malta,T.M., Pagnotta,S.M., Castiglioni,I. et al. (2016) TCGAbiolinks: an R/Bioconductor package for integrative analysis of TCGA data. *Nucleic Acids Res.*, **44**, e71.</w:t>
      </w:r>
    </w:p>
    <w:p>
      <w:pPr>
        <w:spacing w:line="276" w:lineRule="auto" w:after="40"/>
      </w:pPr>
      <w:r>
        <w:rPr>
          <w:rFonts w:ascii="Arial" w:hAnsi="Arial"/>
          <w:color w:val="000000"/>
          <w:sz w:val="20"/>
        </w:rPr>
        <w:t>Luecken,M.D. and Theis,F.J. (2019) Current best practices in single-cell RNA-seq analysis: a tutorial. *Mol. Syst. Biol.*, **15**, e8746.</w:t>
      </w:r>
    </w:p>
    <w:p>
      <w:pPr>
        <w:spacing w:line="276" w:lineRule="auto" w:after="40"/>
      </w:pPr>
      <w:r>
        <w:rPr>
          <w:rFonts w:ascii="Arial" w:hAnsi="Arial"/>
          <w:color w:val="000000"/>
          <w:sz w:val="20"/>
        </w:rPr>
        <w:t>Nei,M. and Gojobori,T. (1986) Simple methods for estimating the numbers of synonymous and nonsynonymous nucleotide substitutions. *Mol. Biol. Evol.*, **3**, 418–426.</w:t>
      </w:r>
    </w:p>
    <w:p>
      <w:pPr>
        <w:spacing w:line="276" w:lineRule="auto" w:after="40"/>
      </w:pPr>
      <w:r>
        <w:rPr>
          <w:rFonts w:ascii="Arial" w:hAnsi="Arial"/>
          <w:color w:val="000000"/>
          <w:sz w:val="20"/>
        </w:rPr>
        <w:t>Tran,H.T.N., Ang,K.S., Chevrier,M., Zhang,X., Lee,N.Y.S., Goh,M. and Chen,J. (2020) A benchmark of batch-effect correction methods for single-cell RNA sequencing data. *Genome Biol.*, **21**, 12.</w:t>
      </w:r>
    </w:p>
    <w:p>
      <w:pPr>
        <w:spacing w:line="276" w:lineRule="auto" w:after="40"/>
      </w:pPr>
      <w:r>
        <w:rPr>
          <w:rFonts w:ascii="Arial" w:hAnsi="Arial"/>
          <w:color w:val="000000"/>
          <w:sz w:val="20"/>
        </w:rPr>
        <w:t>CZI Cell Science Program (2025) CZ CELLxGENE Discover: a single-cell data platform for scalable exploration, analysis and modeling of aggregated data. *Nucleic Acids Res.*, **53**, D886–D900.</w:t>
      </w:r>
    </w:p>
    <w:p>
      <w:pPr>
        <w:spacing w:line="276" w:lineRule="auto" w:after="40"/>
      </w:pPr>
      <w:r>
        <w:rPr>
          <w:rFonts w:ascii="Arial" w:hAnsi="Arial"/>
          <w:color w:val="000000"/>
          <w:sz w:val="20"/>
        </w:rPr>
        <w:t>Liberzon,A., Birger,C., Thorvaldsdóttir,H., Ghandi,M., Mesirov,J.P. and Tamayo,P. (2015) The Molecular Signatures Database Hallmark Gene Set Collection. *Cell Syst.*, **1**, 417–425.</w:t>
      </w:r>
    </w:p>
    <w:p>
      <w:pPr>
        <w:spacing w:line="276" w:lineRule="auto" w:after="40"/>
      </w:pPr>
      <w:r>
        <w:rPr>
          <w:rFonts w:ascii="Arial" w:hAnsi="Arial"/>
          <w:color w:val="000000"/>
          <w:sz w:val="20"/>
        </w:rPr>
        <w:t>Foerster,S., Floriddia,E.M., Neumann,B., Agirre,E., Castelo-Branco,G. and Franklin,R.J.M. (2024) Developmental origin of oligodendrocytes determines their function in the adult brain. *Nat. Neurosci.*, **27**, 1155–1165.</w:t>
      </w:r>
    </w:p>
    <w:p>
      <w:pPr>
        <w:spacing w:line="276" w:lineRule="auto" w:after="40"/>
      </w:pPr>
      <w:r>
        <w:rPr>
          <w:rFonts w:ascii="Arial" w:hAnsi="Arial"/>
          <w:color w:val="000000"/>
          <w:sz w:val="20"/>
        </w:rPr>
        <w:t>Wälchli,T., Ghobrial,M., Schwab,M.E., Takada,S., Zhong,H., Suntharalingham,S., Vetiska,S., Gonzalez,D.R., Wu,R., Rehrauer,H. et al. (2024) Single-cell atlas of the human brain vasculature across development, adulthood and disease. *Nature*, **632**, 603–613.</w:t>
      </w:r>
    </w:p>
    <w:p>
      <w:pPr>
        <w:spacing w:line="276" w:lineRule="auto" w:after="40"/>
      </w:pPr>
      <w:r>
        <w:rPr>
          <w:rFonts w:ascii="Arial" w:hAnsi="Arial"/>
          <w:color w:val="000000"/>
          <w:sz w:val="20"/>
        </w:rPr>
        <w:t>Shemer,A. and Jung,S. (2024) The molecular determinants of microglial developmental colonization. *Nat. Rev. Neurosci.*, **25**, 414–427.</w:t>
      </w:r>
    </w:p>
    <w:p>
      <w:pPr>
        <w:spacing w:line="276" w:lineRule="auto" w:after="40"/>
      </w:pPr>
      <w:r>
        <w:rPr>
          <w:rFonts w:ascii="Arial" w:hAnsi="Arial"/>
          <w:color w:val="000000"/>
          <w:sz w:val="20"/>
        </w:rPr>
        <w:t>Jones,H.E., Coelho-Santos,V., Bonney,S.K., Abrams,S.R., Shih,A.Y. and Siegenthaler,J.A. (2023) Meningeal origins and dynamics of perivascular fibroblast development. *Development*, **150**, dev201805.</w:t>
      </w:r>
    </w:p>
    <w:p>
      <w:pPr>
        <w:spacing w:line="276" w:lineRule="auto" w:after="40"/>
      </w:pPr>
      <w:r>
        <w:rPr>
          <w:rFonts w:ascii="Arial" w:hAnsi="Arial"/>
          <w:color w:val="000000"/>
          <w:sz w:val="20"/>
        </w:rPr>
        <w:t>Schaffenrath,J., Huang,S.F., Wyss,T., Delorenzi,M. and Keller,A. (2024) Characteristics of blood-brain barrier heterogeneity between brain regions. *Nat. Neurosci.*, **27**, 1851–1865.</w:t>
      </w:r>
    </w:p>
    <w:p>
      <w:pPr>
        <w:spacing w:line="276" w:lineRule="auto" w:after="40"/>
      </w:pPr>
      <w:r>
        <w:rPr>
          <w:rFonts w:ascii="Arial" w:hAnsi="Arial"/>
          <w:color w:val="000000"/>
          <w:sz w:val="20"/>
        </w:rPr>
        <w:t>Barry-Carroll,L., Greulich,P., Marshall,A.R., Riecken,K., Fehse,B., Askew,K.E., Li,K., Garaschuk,O., Menassa,D.A. and Gomez-Nicola,D. (2023) Microglia colonize the developing brain by clonal expansion of highly proliferative progenitors. *Cell Rep.*, **42**, 112425.</w:t>
      </w:r>
    </w:p>
    <w:p>
      <w:pPr>
        <w:spacing w:line="276" w:lineRule="auto" w:after="40"/>
      </w:pPr>
      <w:r>
        <w:rPr>
          <w:rFonts w:ascii="Arial" w:hAnsi="Arial"/>
          <w:color w:val="000000"/>
          <w:sz w:val="20"/>
        </w:rPr>
        <w:t>Reeber,S.L., Arancillo,M. and Sillitoe,R.V. (2015) Bergmann glia are patterned into topographic molecular zones in the cerebellum. *Cerebellum*, **14**, 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