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32"/>
        </w:rPr>
        <w:t>CKI: A Cell-state Kinetic Index for Quantifying Selective Transcriptomic Remodeling</w:t>
      </w:r>
    </w:p>
    <w:p>
      <w:pPr>
        <w:jc w:val="center"/>
      </w:pPr>
      <w:r>
        <w:rPr>
          <w:rFonts w:ascii="Arial" w:hAnsi="Arial"/>
          <w:color w:val="000000"/>
          <w:sz w:val="24"/>
        </w:rPr>
        <w:t>Xianming Wu</w:t>
      </w:r>
      <w:r>
        <w:rPr>
          <w:rFonts w:ascii="Arial" w:hAnsi="Arial"/>
          <w:color w:val="000000"/>
          <w:sz w:val="18"/>
          <w:vertAlign w:val="superscript"/>
        </w:rPr>
        <w:t>1</w:t>
      </w:r>
      <w:r>
        <w:t xml:space="preserve">, </w:t>
      </w:r>
      <w:r>
        <w:rPr>
          <w:rFonts w:ascii="Arial" w:hAnsi="Arial"/>
          <w:color w:val="000000"/>
          <w:sz w:val="24"/>
        </w:rPr>
        <w:t>Li Zhang</w:t>
      </w:r>
      <w:r>
        <w:rPr>
          <w:rFonts w:ascii="Arial" w:hAnsi="Arial"/>
          <w:color w:val="000000"/>
          <w:sz w:val="18"/>
          <w:vertAlign w:val="superscript"/>
        </w:rPr>
        <w:t>1</w:t>
      </w:r>
      <w:r>
        <w:rPr>
          <w:rFonts w:ascii="Arial" w:hAnsi="Arial"/>
          <w:color w:val="000000"/>
          <w:sz w:val="18"/>
          <w:vertAlign w:val="superscript"/>
        </w:rPr>
        <w:t>2</w:t>
      </w:r>
      <w:r>
        <w:rPr>
          <w:rFonts w:ascii="Arial" w:hAnsi="Arial"/>
          <w:color w:val="000000"/>
          <w:sz w:val="18"/>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18"/>
        </w:rPr>
        <w:t>ORCID: 0000-0002-0698-0754</w:t>
      </w:r>
    </w:p>
    <w:p>
      <w:pPr>
        <w:pStyle w:val="Heading1"/>
        <w:spacing w:before="240" w:after="120"/>
      </w:pPr>
      <w:r>
        <w:rPr>
          <w:rFonts w:ascii="Arial" w:hAnsi="Arial"/>
          <w:color w:val="000000"/>
          <w:sz w:val="32"/>
          <w:b/>
        </w:rPr>
        <w:t>Graphical Abstract</w:t>
      </w:r>
    </w:p>
    <w:p>
      <w:pPr>
        <w:spacing w:line="276" w:lineRule="auto" w:after="60"/>
        <w:ind w:firstLine="0"/>
      </w:pPr>
      <w:r>
        <w:rPr>
          <w:rFonts w:ascii="Arial" w:hAnsi="Arial"/>
          <w:b w:val="0"/>
          <w:i w:val="0"/>
          <w:color w:val="000000"/>
          <w:sz w:val="22"/>
        </w:rPr>
        <w:t>[A graphical abstract figure (landscape, 5:2 aspect ratio) will be provided separately.]</w:t>
      </w:r>
    </w:p>
    <w:p>
      <w:pPr>
        <w:pStyle w:val="Heading1"/>
        <w:spacing w:before="240" w:after="120"/>
      </w:pPr>
      <w:r>
        <w:rPr>
          <w:rFonts w:ascii="Arial" w:hAnsi="Arial"/>
          <w:color w:val="000000"/>
          <w:sz w:val="32"/>
          <w:b/>
        </w:rPr>
        <w:t>Abstract</w:t>
      </w:r>
    </w:p>
    <w:p>
      <w:pPr>
        <w:spacing w:line="276" w:lineRule="auto" w:after="6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baseline behavior for equivalent populations (mean ω = 1.54, all P &gt; 0.05). CKI ω was negatively correlated with all standard distance metrics (Spearman r = −0.38 to −0.57, all P &lt; 0.001), proving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functional transcriptomic divergence relative to an internal baseline, available as an open-source Python package.</w:t>
      </w:r>
    </w:p>
    <w:p>
      <w:pPr>
        <w:pStyle w:val="Heading1"/>
        <w:spacing w:before="240" w:after="120"/>
      </w:pPr>
      <w:r>
        <w:rPr>
          <w:rFonts w:ascii="Arial" w:hAnsi="Arial"/>
          <w:color w:val="000000"/>
          <w:sz w:val="32"/>
          <w:b/>
        </w:rPr>
        <w:t>Introduction</w:t>
      </w:r>
    </w:p>
    <w:p>
      <w:pPr>
        <w:spacing w:line="276" w:lineRule="auto" w:after="6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6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 (1), scVI (2), and SATURN (3) have been developed specifically to remove such nuisance variation. But after correction, a key question remains: how much of the remaining difference between two populations represents functional adaptation, and how much is simply neutral drift?</w:t>
      </w:r>
    </w:p>
    <w:p>
      <w:pPr>
        <w:spacing w:line="276" w:lineRule="auto" w:after="60"/>
        <w:ind w:firstLine="0"/>
      </w:pPr>
      <w:r>
        <w:rPr>
          <w:rFonts w:ascii="Arial" w:hAnsi="Arial"/>
          <w:b w:val="0"/>
          <w:i w:val="0"/>
          <w:color w:val="000000"/>
          <w:sz w:val="22"/>
        </w:rPr>
        <w:t>We realized that this question mirrors a problem addressed in molecular evolution. When comparing two DNA sequences, the Ka/Ks ratio (also called dN/dS) distinguishes nonsynonymous changes (Ka, which alter the protein) from synonymous changes (Ks, which are largely silent).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6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60"/>
        <w:ind w:firstLine="0"/>
      </w:pPr>
      <w:r>
        <w:rPr>
          <w:rFonts w:ascii="Arial" w:hAnsi="Arial"/>
          <w:b w:val="0"/>
          <w:i w:val="0"/>
          <w:color w:val="000000"/>
          <w:sz w:val="22"/>
        </w:rPr>
        <w:t>We validated CKI across four scales, each testing a different aspect of the method. First, we calibrated CKI on Tabula Muris mouse data (5), confirming that random splits of the same cell population yield ω close to 1 (baseline behavior). Second, we extended CKI to Tabula Sapiens human data (6) and found that CKI ω is negatively correlated with all four standard distance metrics, proving it captures an orthogonal information dimension. Third, we applied CKI to TCGA cancer data (7,8), revealing that tumors are paradoxically more transcriptionally homogeneous than normal tissues. Fourth, we used CKI to analyze a human brain single-nucleus atlas (9),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pPr>
        <w:pStyle w:val="Heading1"/>
        <w:spacing w:before="240" w:after="120"/>
      </w:pPr>
      <w:r>
        <w:rPr>
          <w:rFonts w:ascii="Arial" w:hAnsi="Arial"/>
          <w:color w:val="000000"/>
          <w:sz w:val="32"/>
          <w:b/>
        </w:rPr>
        <w:t>Materials and Methods</w:t>
      </w:r>
    </w:p>
    <w:p>
      <w:pPr>
        <w:pStyle w:val="Heading2"/>
        <w:spacing w:before="240" w:after="120"/>
      </w:pPr>
      <w:r>
        <w:rPr>
          <w:rFonts w:ascii="Arial" w:hAnsi="Arial"/>
          <w:color w:val="000000"/>
          <w:sz w:val="28"/>
          <w:b/>
        </w:rPr>
        <w:t>CKI computation</w:t>
      </w:r>
    </w:p>
    <w:p>
      <w:pPr>
        <w:spacing w:line="276" w:lineRule="auto" w:after="60"/>
        <w:ind w:firstLine="0"/>
      </w:pPr>
      <w:r>
        <w:rPr>
          <w:rFonts w:ascii="Arial" w:hAnsi="Arial"/>
          <w:b w:val="0"/>
          <w:i w:val="0"/>
          <w:color w:val="000000"/>
          <w:sz w:val="22"/>
        </w:rPr>
        <w:t>We normalize raw count matrices to 10,000 counts per cell and apply log1p transformation. Pseudobulk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(4) is optionally used as supplementary enhancement (union with detected set). For any other species, detection is purely data-driven without external references.</w:t>
      </w:r>
    </w:p>
    <w:p>
      <w:pPr>
        <w:spacing w:line="276" w:lineRule="auto" w:after="6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240" w:after="120"/>
      </w:pPr>
      <w:r>
        <w:rPr>
          <w:rFonts w:ascii="Arial" w:hAnsi="Arial"/>
          <w:color w:val="000000"/>
          <w:sz w:val="28"/>
          <w:b/>
        </w:rPr>
        <w:t>Bootstrap permutation test</w:t>
      </w:r>
    </w:p>
    <w:p>
      <w:pPr>
        <w:spacing w:line="276" w:lineRule="auto" w:after="60"/>
        <w:ind w:firstLine="0"/>
      </w:pPr>
      <w:r>
        <w:rPr>
          <w:rFonts w:ascii="Arial" w:hAnsi="Arial"/>
          <w:b w:val="0"/>
          <w:i w:val="0"/>
          <w:color w:val="000000"/>
          <w:sz w:val="22"/>
        </w:rPr>
        <w:t>We randomly permute cell labels between the two populations (B = 500 for the mouse pilot study of 15 cell-type pairs and 6 calibration controls), recompute pseudobulk vectors, and calculate ω_null for each permutation. Two-sided empirical P-values are computed as: P = 2 × min((count(ω_null ≥ ω_obs) + 1)/(B + 1), (count(ω_null ≤ ω_obs) + 1)/(B + 1)), capped at 1.0, where the +1 pseudocount avoids P = 0. Standardized effect size = (ω_obs - mean(ω_null)) / sd(ω_null). Bootstrap permutation testing was performed only for the mouse pilot study; human (Tabula Sapiens), TCGA, and brain atlas analyses used descriptive statistics (median, IQR, effect sizes) without permutation testing, given the large number of pairwise comparisons in these datasets.</w:t>
      </w:r>
    </w:p>
    <w:p>
      <w:pPr>
        <w:pStyle w:val="Heading2"/>
        <w:spacing w:before="240" w:after="120"/>
      </w:pPr>
      <w:r>
        <w:rPr>
          <w:rFonts w:ascii="Arial" w:hAnsi="Arial"/>
          <w:color w:val="000000"/>
          <w:sz w:val="28"/>
          <w:b/>
        </w:rPr>
        <w:t>Datasets</w:t>
      </w:r>
    </w:p>
    <w:p>
      <w:pPr>
        <w:spacing w:line="276" w:lineRule="auto" w:after="60"/>
        <w:ind w:firstLine="0"/>
      </w:pPr>
      <w:r>
        <w:rPr>
          <w:rFonts w:ascii="Arial" w:hAnsi="Arial"/>
          <w:b w:val="0"/>
          <w:i w:val="0"/>
          <w:color w:val="000000"/>
          <w:sz w:val="22"/>
        </w:rPr>
        <w:t>Tabula Muris FACS SmartSeq2 (5): 15,057 cells, 22,308 genes, 6 organs (liver, kidney, spleen, lung, heart, bone marrow). Post-QC: 32 cell-type entries (each with at least 10 cells). Highly variable genes selected using scanpy (25) with flavor="seurat" (26,27) and n_top_genes=2,000.</w:t>
      </w:r>
    </w:p>
    <w:p>
      <w:pPr>
        <w:spacing w:line="276" w:lineRule="auto" w:after="60"/>
        <w:ind w:firstLine="0"/>
      </w:pPr>
      <w:r>
        <w:rPr>
          <w:rFonts w:ascii="Arial" w:hAnsi="Arial"/>
          <w:b w:val="0"/>
          <w:i w:val="0"/>
          <w:color w:val="000000"/>
          <w:sz w:val="22"/>
        </w:rPr>
        <w:t>Tabula Sapiens v1.0 (6): accessed via CZ CELLxGENE Discover. Post-QC: 108,136 cells (6 h5ad files total), 51,852 genes, 99 cell-type entries across 6 organs. Human HK genes: auto-detected (combined detection-rate/CV criterion), with optional enhancement from 1,130 HRT Atlas v1.0 genes mapped by gene symbol.</w:t>
      </w:r>
    </w:p>
    <w:p>
      <w:pPr>
        <w:spacing w:line="276" w:lineRule="auto" w:after="60"/>
        <w:ind w:firstLine="0"/>
      </w:pPr>
      <w:r>
        <w:rPr>
          <w:rFonts w:ascii="Arial" w:hAnsi="Arial"/>
          <w:b w:val="0"/>
          <w:i w:val="0"/>
          <w:color w:val="000000"/>
          <w:sz w:val="22"/>
        </w:rPr>
        <w:t>TCGA bulk RNA-seq (28): five cancer types from NCI Genomic Data Commons, accessed via TCGAbiolinks (29) and cBioPortal (14) APIs. LUAD: 495 tumor + 76 normal; LUSC: 567 tumor + 58 normal; LIHC: 365 tumor + 57 normal; KIRC: 755 tumor + 82 normal; BRCA: 1032 tumor + 109 normal. TPM values from UCSC Xena, log2(TPM + 0.001) transformed. PAM50 classification (11,12): nearest centroid (Pearson correlation), 44 of 47 PAM50 genes matched. LIHC Edmondson grade (10): from cBioPortal, 288 tumors. LUAD mutations: from cBioPortal, 492 samples (61 EGFR, 120 KRAS, 311 WT).</w:t>
      </w:r>
    </w:p>
    <w:p>
      <w:pPr>
        <w:spacing w:line="276" w:lineRule="auto" w:after="60"/>
        <w:ind w:firstLine="0"/>
      </w:pPr>
      <w:r>
        <w:rPr>
          <w:rFonts w:ascii="Arial" w:hAnsi="Arial"/>
          <w:b w:val="0"/>
          <w:i w:val="0"/>
          <w:color w:val="000000"/>
          <w:sz w:val="22"/>
        </w:rPr>
        <w:t>Human brain atlas (9):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We required &gt;= 20 nuclei per (region, cell_type) group and &gt;= 50 nuclei per region. Normalization: Scanpy normalize_total (target_sum = 10,000) followed by log1p transformation. Pseudobulk vectors were computed as the mean log-normalized expression per group.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pPr>
        <w:pStyle w:val="Heading2"/>
        <w:spacing w:before="240" w:after="120"/>
      </w:pPr>
      <w:r>
        <w:rPr>
          <w:rFonts w:ascii="Arial" w:hAnsi="Arial"/>
          <w:color w:val="000000"/>
          <w:sz w:val="28"/>
          <w:b/>
        </w:rPr>
        <w:t>Method comparison</w:t>
      </w:r>
    </w:p>
    <w:p>
      <w:pPr>
        <w:spacing w:line="276" w:lineRule="auto" w:after="6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240" w:after="120"/>
      </w:pPr>
      <w:r>
        <w:rPr>
          <w:rFonts w:ascii="Arial" w:hAnsi="Arial"/>
          <w:color w:val="000000"/>
          <w:sz w:val="28"/>
          <w:b/>
        </w:rPr>
        <w:t>Multiplicative residual model for brain regional analysis</w:t>
      </w:r>
    </w:p>
    <w:p>
      <w:pPr>
        <w:spacing w:line="276" w:lineRule="auto" w:after="6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and pair median ω &gt; 20), Moderate (residual &lt; 0.5, ω &lt; 25), and Weak (residual &lt; 0.75,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240" w:after="120"/>
      </w:pPr>
      <w:r>
        <w:rPr>
          <w:rFonts w:ascii="Arial" w:hAnsi="Arial"/>
          <w:color w:val="000000"/>
          <w:sz w:val="28"/>
          <w:b/>
        </w:rPr>
        <w:t>Clinical severity analysis</w:t>
      </w:r>
    </w:p>
    <w:p>
      <w:pPr>
        <w:spacing w:line="276" w:lineRule="auto" w:after="6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(11,12); 44 of 47 PAM50 genes matched to TCGA gene symbols. LIHC Edmondson histological grades (10)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used Mann-Whitney U test.</w:t>
      </w:r>
    </w:p>
    <w:p>
      <w:pPr>
        <w:pStyle w:val="Heading2"/>
        <w:spacing w:before="240" w:after="120"/>
      </w:pPr>
      <w:r>
        <w:rPr>
          <w:rFonts w:ascii="Arial" w:hAnsi="Arial"/>
          <w:color w:val="000000"/>
          <w:sz w:val="28"/>
          <w:b/>
        </w:rPr>
        <w:t>Computational environment</w:t>
      </w:r>
    </w:p>
    <w:p>
      <w:pPr>
        <w:spacing w:line="276" w:lineRule="auto" w:after="60"/>
        <w:ind w:firstLine="0"/>
      </w:pPr>
      <w:r>
        <w:rPr>
          <w:rFonts w:ascii="Arial" w:hAnsi="Arial"/>
          <w:b w:val="0"/>
          <w:i w:val="0"/>
          <w:color w:val="000000"/>
          <w:sz w:val="22"/>
        </w:rPr>
        <w:t>All analyses were performed in Python 3.13.12 with scanpy &gt;= 1.9.0 (25), scipy &gt;= 1.10.0, numpy &gt;= 1.23.0, pandas &gt;= 1.5.0, matplotlib &gt;= 3.6.0, seaborn &gt;= 0.12.0, and scikit-learn &gt;= 1.2.0. All random seeds were fixed at 42.</w:t>
      </w:r>
    </w:p>
    <w:p>
      <w:pPr>
        <w:pStyle w:val="Heading2"/>
        <w:spacing w:before="240" w:after="120"/>
      </w:pPr>
      <w:r>
        <w:rPr>
          <w:rFonts w:ascii="Arial" w:hAnsi="Arial"/>
          <w:color w:val="000000"/>
          <w:sz w:val="28"/>
          <w:b/>
        </w:rPr>
        <w:t>Statistical reporting</w:t>
      </w:r>
    </w:p>
    <w:p>
      <w:pPr>
        <w:spacing w:line="276" w:lineRule="auto" w:after="60"/>
        <w:ind w:firstLine="0"/>
      </w:pPr>
      <w:r>
        <w:rPr>
          <w:rFonts w:ascii="Arial" w:hAnsi="Arial"/>
          <w:b w:val="0"/>
          <w:i w:val="0"/>
          <w:color w:val="000000"/>
          <w:sz w:val="22"/>
        </w:rPr>
        <w:t>We report summary statistics as mean ± s.d. (range) or median [IQR] as noted. Box plots display median, IQR, and 1.5× IQR whiskers. All P-values are two-sided unless otherwise specified. Bootstrap permutation testing was performed only for the mouse pilot study (15 cell-type pairs, B = 500) and calibration controls (n = 6); empirical P-values use the two-sided +1 pseudocount formula: P = 2 × min((count(ω_null ≥ ω_obs) + 1)/(B + 1), (count(ω_null ≤ ω_obs) + 1)/(B + 1)), capped at 1.0. All reported P-values are raw empirical P-values without multiple testing correction. For human (Tabula Sapiens), TCGA, and brain atlas analyses, descriptive statistics (median, IQR, effect sizes) are reported without permutation testing. Effect sizes are reported as Cohen's d; d &gt; 0.8 indicates a large effect. Correlation coefficients (Spearman ρ) are reported with associated P-values. Omnibus tests (Kruskal-Wallis, Jonckheere-Terpstra) use P &lt; 0.05 without additional correction.</w:t>
      </w:r>
    </w:p>
    <w:p>
      <w:pPr>
        <w:pStyle w:val="Heading1"/>
        <w:spacing w:before="240" w:after="120"/>
      </w:pPr>
      <w:r>
        <w:rPr>
          <w:rFonts w:ascii="Arial" w:hAnsi="Arial"/>
          <w:color w:val="000000"/>
          <w:sz w:val="32"/>
          <w:b/>
        </w:rPr>
        <w:t>Results</w:t>
      </w:r>
    </w:p>
    <w:p>
      <w:pPr>
        <w:pStyle w:val="Heading2"/>
        <w:spacing w:before="240" w:after="120"/>
      </w:pPr>
      <w:r>
        <w:rPr>
          <w:rFonts w:ascii="Arial" w:hAnsi="Arial"/>
          <w:color w:val="000000"/>
          <w:sz w:val="28"/>
          <w:b/>
        </w:rPr>
        <w:t>Decomposing transcriptomic variation</w:t>
      </w:r>
    </w:p>
    <w:p>
      <w:pPr>
        <w:spacing w:line="276" w:lineRule="auto" w:after="6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6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(4), k_n captures baseline noise: technical variation, stochastic transcriptional bursting, and individual-level physiological differences.</w:t>
      </w:r>
    </w:p>
    <w:p>
      <w:pPr>
        <w:spacing w:line="276" w:lineRule="auto" w:after="6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identity genes are the top-2,000 highly variable genes (HVGs; Seurat flavor), excluding HK genes to maintain k_n/k_f independence. k_f is the JS divergence between these two identity gene probability distributions.</w:t>
      </w:r>
    </w:p>
    <w:p>
      <w:pPr>
        <w:spacing w:line="276" w:lineRule="auto" w:after="60"/>
        <w:ind w:firstLine="0"/>
      </w:pPr>
      <w:r>
        <w:rPr>
          <w:rFonts w:ascii="Arial" w:hAnsi="Arial"/>
          <w:b w:val="0"/>
          <w:i w:val="0"/>
          <w:color w:val="000000"/>
          <w:sz w:val="22"/>
        </w:rPr>
        <w:t>Step 3: ω = k_f/k_n. For statistical inference, we perform bootstrap permutation testing (B = 500, mouse pilot study only). Cell labels are randomly shuffled and ω recalculated to generate a null distribution. The two-sided empirical P-value is P = 2 × min((count(ω_null ≥ ω_obs) + 1)/(B + 1), (count(ω_null ≤ ω_obs) + 1)/(B + 1)), capped at 1.0, and effect size is reported as Cohen's d. All reported P-values are raw empirical P-values without multiple testing correction. For the larger-scale analyses (Tabula Sapiens, TCGA, brain atlas), descriptive statistics (median, IQR, effect sizes) are reported without permutation testing.</w:t>
      </w:r>
    </w:p>
    <w:p>
      <w:pPr>
        <w:spacing w:line="276" w:lineRule="auto" w:after="6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neutral and identity gene sets is sufficient.</w:t>
      </w:r>
    </w:p>
    <w:p>
      <w:pPr>
        <w:pStyle w:val="Heading2"/>
        <w:spacing w:before="240" w:after="120"/>
      </w:pPr>
      <w:r>
        <w:rPr>
          <w:rFonts w:ascii="Arial" w:hAnsi="Arial"/>
          <w:color w:val="000000"/>
          <w:sz w:val="28"/>
          <w:b/>
        </w:rPr>
        <w:t>Calibration confirms baseline behavior at baseline</w:t>
      </w:r>
    </w:p>
    <w:p>
      <w:pPr>
        <w:spacing w:line="276" w:lineRule="auto" w:after="60"/>
        <w:ind w:firstLine="0"/>
      </w:pPr>
      <w:r>
        <w:rPr>
          <w:rFonts w:ascii="Arial" w:hAnsi="Arial"/>
          <w:b w:val="0"/>
          <w:i w:val="0"/>
          <w:color w:val="000000"/>
          <w:sz w:val="22"/>
        </w:rPr>
        <w:t>We calibrated CKI on the Tabula Muris FACS dataset (5) (SmartSeq2, 15,057 cells, 22,308 genes, 6 organs). Housekeeping genes were auto-detected from data using a combined criterion (detection rate &gt; 0.9 and CV below the 30th percentile), supplemented with 1,130 human-mouse conserved reference HK genes from the HRT Atlas (4) for human and mouse datasets. Identity genes were the top-2,000 highly variable genes (HVGs; Seurat), excluding HK genes (Fig. 2).</w:t>
      </w:r>
    </w:p>
    <w:p>
      <w:pPr>
        <w:spacing w:line="276" w:lineRule="auto" w:after="6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1.54 (median 1.42, range 1.09–2.10), and none of the six comparisons reached statistical significance (all P &gt; 0.05, two-sided bootstrap test). This confirms that CKI recognizes biologically equivalent cell populations as having no functional divergence. We note that while these results are consistent with baseline behavior, formal equivalence testing (e.g., two one-sided tests, TOST) with a larger calibration sample would provide stronger statistical evidence for equivalence; the current sample size (n = 6) limits the power of such tests.</w:t>
      </w:r>
    </w:p>
    <w:p>
      <w:pPr>
        <w:spacing w:line="276" w:lineRule="auto" w:after="60"/>
        <w:ind w:firstLine="0"/>
      </w:pPr>
      <w:r>
        <w:rPr>
          <w:rFonts w:ascii="Arial" w:hAnsi="Arial"/>
          <w:b w:val="0"/>
          <w:i w:val="0"/>
          <w:color w:val="000000"/>
          <w:sz w:val="22"/>
        </w:rPr>
        <w:t>Beyond controls, ω values increased monotonically with biological distance. Same cell type across different organs (S category: mean ω = 4.03, n = 4 pairs) had lower ω than different cell types within the same organ (D category: mean ω = 13.18,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pStyle w:val="Heading2"/>
        <w:spacing w:before="240" w:after="120"/>
      </w:pPr>
      <w:r>
        <w:rPr>
          <w:rFonts w:ascii="Arial" w:hAnsi="Arial"/>
          <w:color w:val="000000"/>
          <w:sz w:val="28"/>
          <w:b/>
        </w:rPr>
        <w:t>CKI captures information that standard metrics miss</w:t>
      </w:r>
    </w:p>
    <w:p>
      <w:pPr>
        <w:spacing w:line="276" w:lineRule="auto" w:after="60"/>
        <w:ind w:firstLine="0"/>
      </w:pPr>
      <w:r>
        <w:rPr>
          <w:rFonts w:ascii="Arial" w:hAnsi="Arial"/>
          <w:b w:val="0"/>
          <w:i w:val="0"/>
          <w:color w:val="000000"/>
          <w:sz w:val="22"/>
        </w:rPr>
        <w:t>We extended CKI to the Tabula Sapiens human atlas (6) (108,136 cells; 6 h5ad files total, 99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HK genes were auto-detected (combined criterion, with optional HRT Atlas enhancement) (Fig. 3).</w:t>
      </w:r>
    </w:p>
    <w:p>
      <w:pPr>
        <w:spacing w:line="276" w:lineRule="auto" w:after="60"/>
        <w:ind w:firstLine="0"/>
      </w:pPr>
      <w:r>
        <w:rPr>
          <w:rFonts w:ascii="Arial" w:hAnsi="Arial"/>
          <w:b w:val="0"/>
          <w:i w:val="0"/>
          <w:color w:val="000000"/>
          <w:sz w:val="22"/>
        </w:rPr>
        <w:t>Human ω values ranged from 1.10 to 58.69 (mean 14.23, median 13.81, n = 4,851 pairs), substantively higher than mouse (mean 7.07). This difference likely reflects both the larger number of cell types (99 vs. ~32) and greater donor heterogeneity in human data (multiple donors vs. inbred mouse strains). Despite this, the biological hierarchy was preserved: same cell type across organs (mean ω = 8.70, n = 59 pairs) was lower than different cell types within the same organ (mean ω = 16.18, n = 1,038 pairs).</w:t>
      </w:r>
    </w:p>
    <w:p>
      <w:pPr>
        <w:spacing w:line="276" w:lineRule="auto" w:after="60"/>
        <w:ind w:firstLine="0"/>
      </w:pPr>
      <w:r>
        <w:rPr>
          <w:rFonts w:ascii="Arial" w:hAnsi="Arial"/>
          <w:b w:val="0"/>
          <w:i w:val="0"/>
          <w:color w:val="000000"/>
          <w:sz w:val="22"/>
        </w:rPr>
        <w:t>The critical finding was that CKI captures a largely independent information dimension. We computed five metrics on all 4,851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240" w:after="120"/>
      </w:pPr>
      <w:r>
        <w:rPr>
          <w:rFonts w:ascii="Arial" w:hAnsi="Arial"/>
          <w:b/>
          <w:sz w:val="18"/>
        </w:rPr>
        <w:t>Table 1. Classification AUC of five metrics on Tabula Sapiens (99 cell types,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20"/>
      </w:pPr>
    </w:p>
    <w:p>
      <w:pPr>
        <w:spacing w:line="276" w:lineRule="auto" w:after="60"/>
        <w:ind w:firstLine="0"/>
      </w:pPr>
      <w:r>
        <w:rPr>
          <w:rFonts w:ascii="Arial" w:hAnsi="Arial"/>
          <w:b w:val="0"/>
          <w:i w:val="0"/>
          <w:color w:val="000000"/>
          <w:sz w:val="22"/>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240" w:after="120"/>
      </w:pPr>
      <w:r>
        <w:rPr>
          <w:rFonts w:ascii="Arial" w:hAnsi="Arial"/>
          <w:color w:val="000000"/>
          <w:sz w:val="28"/>
          <w:b/>
        </w:rPr>
        <w:t>Cancer analysis reveals unexpected transcriptional convergence</w:t>
      </w:r>
    </w:p>
    <w:p>
      <w:pPr>
        <w:spacing w:line="276" w:lineRule="auto" w:after="60"/>
        <w:ind w:firstLine="0"/>
      </w:pPr>
      <w:r>
        <w:rPr>
          <w:rFonts w:ascii="Arial" w:hAnsi="Arial"/>
          <w:b w:val="0"/>
          <w:i w:val="0"/>
          <w:color w:val="000000"/>
          <w:sz w:val="22"/>
        </w:rPr>
        <w:t>We applied CKI to TCGA bulk RNA-seq data across five cancer types (LUAD, LUSC, LIHC, KIRC, BRCA) (7,8),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60"/>
        <w:ind w:firstLine="0"/>
      </w:pPr>
      <w:r>
        <w:rPr>
          <w:rFonts w:ascii="Arial" w:hAnsi="Arial"/>
          <w:b w:val="0"/>
          <w:i w:val="0"/>
          <w:color w:val="000000"/>
          <w:sz w:val="22"/>
        </w:rP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This convergence toward shared transcriptional states may represent common vulnerabilities across genetically diverse tumors.</w:t>
      </w:r>
    </w:p>
    <w:p>
      <w:pPr>
        <w:spacing w:line="276" w:lineRule="auto" w:after="60"/>
        <w:ind w:firstLine="0"/>
      </w:pPr>
      <w:r>
        <w:rPr>
          <w:rFonts w:ascii="Arial" w:hAnsi="Arial"/>
          <w:b w:val="0"/>
          <w:i w:val="0"/>
          <w:color w:val="000000"/>
          <w:sz w:val="22"/>
        </w:rP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precludes definitive conclusions about within-patient versus between-patient variation.</w:t>
      </w:r>
    </w:p>
    <w:p>
      <w:pPr>
        <w:spacing w:line="276" w:lineRule="auto" w:after="60"/>
        <w:ind w:firstLine="0"/>
      </w:pPr>
      <w:r>
        <w:rPr>
          <w:rFonts w:ascii="Arial" w:hAnsi="Arial"/>
          <w:b w:val="0"/>
          <w:i w:val="0"/>
          <w:color w:val="000000"/>
          <w:sz w:val="22"/>
        </w:rPr>
        <w:t>We then asked whether ω tracks with clinical severity within cancer types. In liver cancer, ω decreased with increasing Edmondson grade (10): G1 (101.8 ± 46.8, n = 39) &gt; G2 (100.2 ± 63.9, n = 133) &gt; G3 (96.8 ± 58.2, n = 105) &gt; G4 (90.0 ± 57.8, n = 11; Jonckheere-Terpstra trend test, P &lt; 0.001). In breast cancer, PAM50 subtype analysis (11,12)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p>
    <w:p>
      <w:pPr>
        <w:pStyle w:val="Heading2"/>
        <w:spacing w:before="240" w:after="120"/>
      </w:pPr>
      <w:r>
        <w:rPr>
          <w:rFonts w:ascii="Arial" w:hAnsi="Arial"/>
          <w:color w:val="000000"/>
          <w:sz w:val="28"/>
          <w:b/>
        </w:rPr>
        <w:t>CKI ranks cell types by cross-organ conservation</w:t>
      </w:r>
    </w:p>
    <w:p>
      <w:pPr>
        <w:spacing w:before="240" w:after="120"/>
      </w:pPr>
      <w:r>
        <w:rPr>
          <w:rFonts w:ascii="Arial" w:hAnsi="Arial"/>
          <w:b/>
          <w:sz w:val="18"/>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20"/>
      </w:pPr>
    </w:p>
    <w:p>
      <w:pPr>
        <w:spacing w:line="276" w:lineRule="auto" w:after="60"/>
        <w:ind w:firstLine="0"/>
      </w:pPr>
      <w:r>
        <w:rPr>
          <w:rFonts w:ascii="Arial" w:hAnsi="Arial"/>
          <w:b w:val="0"/>
          <w:i w:val="0"/>
          <w:color w:val="000000"/>
          <w:sz w:val="22"/>
        </w:rPr>
        <w:t>Among the 4,851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6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(32). We note that several cell types (particularly those with n = 1 or 3) have small sample sizes, and their rankings should be interpreted with appropriate caution.</w:t>
      </w:r>
    </w:p>
    <w:p>
      <w:pPr>
        <w:spacing w:line="276" w:lineRule="auto" w:after="60"/>
        <w:ind w:firstLine="0"/>
      </w:pPr>
      <w:r>
        <w:rPr>
          <w:rFonts w:ascii="Arial" w:hAnsi="Arial"/>
          <w:b w:val="0"/>
          <w:i w:val="0"/>
          <w:color w:val="000000"/>
          <w:sz w:val="22"/>
        </w:rPr>
        <w:t>The cross-organ conservation ranking from CKI showed little agreement with rankings from standard metrics (Spearman r = -0.40 to +0.02, n = 59 pairs). 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t>
      </w:r>
    </w:p>
    <w:p>
      <w:pPr>
        <w:pStyle w:val="Heading2"/>
        <w:spacing w:before="240" w:after="120"/>
      </w:pPr>
      <w:r>
        <w:rPr>
          <w:rFonts w:ascii="Arial" w:hAnsi="Arial"/>
          <w:color w:val="000000"/>
          <w:sz w:val="28"/>
          <w:b/>
        </w:rPr>
        <w:t>Brain regional analysis reveals cell-type differentiation gradients</w:t>
      </w:r>
    </w:p>
    <w:p>
      <w:pPr>
        <w:spacing w:line="276" w:lineRule="auto" w:after="60"/>
        <w:ind w:firstLine="0"/>
      </w:pPr>
      <w:r>
        <w:rPr>
          <w:rFonts w:ascii="Arial" w:hAnsi="Arial"/>
          <w:b w:val="0"/>
          <w:i w:val="0"/>
          <w:color w:val="000000"/>
          <w:sz w:val="22"/>
        </w:rPr>
        <w:t>We applied CKI to the Siletti et al. human brain single-nucleus RNA-seq atlas (9), which profiles ~3.3 million nuclei across ~100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w:t>
      </w:r>
    </w:p>
    <w:p>
      <w:pPr>
        <w:spacing w:line="276" w:lineRule="auto" w:after="60"/>
        <w:ind w:firstLine="0"/>
      </w:pPr>
      <w:r>
        <w:rPr>
          <w:rFonts w:ascii="Arial" w:hAnsi="Arial"/>
          <w:b w:val="0"/>
          <w:i w:val="0"/>
          <w:color w:val="000000"/>
          <w:sz w:val="22"/>
        </w:rP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6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p>
    <w:p>
      <w:pPr>
        <w:spacing w:line="276" w:lineRule="auto" w:after="6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240" w:after="120"/>
      </w:pPr>
      <w:r>
        <w:rPr>
          <w:rFonts w:ascii="Arial" w:hAnsi="Arial"/>
          <w:color w:val="000000"/>
          <w:sz w:val="28"/>
          <w:b/>
        </w:rPr>
        <w:t>CKI detects putative inter-regional migration events</w:t>
      </w:r>
    </w:p>
    <w:p>
      <w:pPr>
        <w:spacing w:line="276" w:lineRule="auto" w:after="6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276" w:lineRule="auto" w:after="6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and pair median ω &gt; 20), Moderate (residual &lt; 0.5, ω &lt; 25), and Weak (residual &lt; 0.75, ω &lt; 35).</w:t>
      </w:r>
    </w:p>
    <w:p>
      <w:pPr>
        <w:spacing w:line="276" w:lineRule="auto" w:after="60"/>
        <w:ind w:firstLine="0"/>
      </w:pPr>
      <w:r>
        <w:rPr>
          <w:rFonts w:ascii="Arial" w:hAnsi="Arial"/>
          <w:b w:val="0"/>
          <w:i w:val="0"/>
          <w:color w:val="000000"/>
          <w:sz w:val="22"/>
        </w:rPr>
        <w:t>Among 31,764 cross-region comparisons, 30 (0.09%) were classified as Strong migration candidates: Astrocyte (6), fibroblast (1), microglia (10), oligodendrocyte (10), and vascular cells (3). Another 1,247 pairs (3.93%) were Moderate candidates, and 6,567 (20.67%) were Weak candidates. By cell type, the Strong candidate counts reflect a combination of regional adjacency, shared developmental origins, and ongoing cellular interchange.</w:t>
      </w:r>
    </w:p>
    <w:p>
      <w:pPr>
        <w:pStyle w:val="Heading3"/>
        <w:spacing w:before="240" w:after="120"/>
      </w:pPr>
      <w:r>
        <w:rPr>
          <w:rFonts w:ascii="Arial" w:hAnsi="Arial"/>
          <w:color w:val="000000"/>
          <w:sz w:val="24"/>
          <w:b/>
        </w:rPr>
        <w:t>OPCs: key negative control validates method specificity</w:t>
      </w:r>
    </w:p>
    <w:p>
      <w:pPr>
        <w:spacing w:line="276" w:lineRule="auto" w:after="60"/>
        <w:ind w:firstLine="0"/>
      </w:pPr>
      <w:r>
        <w:rPr>
          <w:rFonts w:ascii="Arial" w:hAnsi="Arial"/>
          <w:b w:val="0"/>
          <w:i w:val="0"/>
          <w:color w:val="000000"/>
          <w:sz w:val="22"/>
        </w:rPr>
        <w:t>Oligodendrocyte precursor cells (OPCs) are the most actively migrating cells in the adult CNS, continuously surveilling their environment along vascular scaffolds (13,17). Yet CKI detected 0 Strong signals among 5,671 OPC cross-region comparisons—a finding that provides a critical orthogonal validation of the multiplicative residual model. The model is not simply detecting high ω values or absolute transcriptional differences; it identifies cell-type/region-pair combinations where the observed functional divergence is strikingly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(35).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240" w:after="120"/>
      </w:pPr>
      <w:r>
        <w:rPr>
          <w:rFonts w:ascii="Arial" w:hAnsi="Arial"/>
          <w:color w:val="000000"/>
          <w:sz w:val="24"/>
          <w:b/>
        </w:rPr>
        <w:t>Oligodendrocytes: developmental origin rather than migration</w:t>
      </w:r>
    </w:p>
    <w:p>
      <w:pPr>
        <w:spacing w:line="276" w:lineRule="auto" w:after="60"/>
        <w:ind w:firstLine="0"/>
      </w:pPr>
      <w:r>
        <w:rPr>
          <w:rFonts w:ascii="Arial" w:hAnsi="Arial"/>
          <w:b w:val="0"/>
          <w:i w:val="0"/>
          <w:color w:val="000000"/>
          <w:sz w:val="22"/>
        </w:rPr>
        <w:t>Mature oligodendrocytes contributed 10 Strong signals (residual 0.237–0.292), yet the prevailing view is that adult oligodendrocytes do not migrate between brain regions. We systematically cross-validated all 10 Strong pairs against the developmental neurobiology literature. Strikingly, all 10 signals involved cortex/thalamus (A13/A14/A19/A32/A40/Idg vs. Pul/LP) or brainstem-internal (MoRF-MoEN vs. PnRF) pairings—precisely the anatomical boundaries between dorsal- and ventral-derived oligodendrocyte populations. Foerster et al. (35)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pPr>
        <w:pStyle w:val="Heading3"/>
        <w:spacing w:before="240" w:after="120"/>
      </w:pPr>
      <w:r>
        <w:rPr>
          <w:rFonts w:ascii="Arial" w:hAnsi="Arial"/>
          <w:color w:val="000000"/>
          <w:sz w:val="24"/>
          <w:b/>
        </w:rPr>
        <w:t>Astrocytes: regional specialization with developmental origins</w:t>
      </w:r>
    </w:p>
    <w:p>
      <w:pPr>
        <w:spacing w:line="276" w:lineRule="auto" w:after="60"/>
        <w:ind w:firstLine="0"/>
      </w:pPr>
      <w:r>
        <w:rPr>
          <w:rFonts w:ascii="Arial" w:hAnsi="Arial"/>
          <w:b w:val="0"/>
          <w:i w:val="0"/>
          <w:color w:val="000000"/>
          <w:sz w:val="22"/>
        </w:rPr>
        <w:t>Astrocytes showed the highest global ω (14.36) yet contributed 6 Strong signals, all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(41). Endo et al. (18)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240" w:after="120"/>
      </w:pPr>
      <w:r>
        <w:rPr>
          <w:rFonts w:ascii="Arial" w:hAnsi="Arial"/>
          <w:color w:val="000000"/>
          <w:sz w:val="24"/>
          <w:b/>
        </w:rPr>
        <w:t>Bergmann glia: cerebellar molecular topography</w:t>
      </w:r>
    </w:p>
    <w:p>
      <w:pPr>
        <w:spacing w:line="276" w:lineRule="auto" w:after="60"/>
        <w:ind w:firstLine="0"/>
      </w:pPr>
      <w:r>
        <w:rPr>
          <w:rFonts w:ascii="Arial" w:hAnsi="Arial"/>
          <w:b w:val="0"/>
          <w:i w:val="0"/>
          <w:color w:val="000000"/>
          <w:sz w:val="22"/>
        </w:rPr>
        <w:t>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(41),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pPr>
        <w:pStyle w:val="Heading3"/>
        <w:spacing w:before="240" w:after="120"/>
      </w:pPr>
      <w:r>
        <w:rPr>
          <w:rFonts w:ascii="Arial" w:hAnsi="Arial"/>
          <w:color w:val="000000"/>
          <w:sz w:val="24"/>
          <w:b/>
        </w:rPr>
        <w:t>Microglia: developmental colonization wave boundaries</w:t>
      </w:r>
    </w:p>
    <w:p>
      <w:pPr>
        <w:spacing w:line="276" w:lineRule="auto" w:after="60"/>
        <w:ind w:firstLine="0"/>
      </w:pPr>
      <w:r>
        <w:rPr>
          <w:rFonts w:ascii="Arial" w:hAnsi="Arial"/>
          <w:b w:val="0"/>
          <w:i w:val="0"/>
          <w:color w:val="000000"/>
          <w:sz w:val="22"/>
        </w:rPr>
        <w:t>Microglia contributed 10 Strong signals despite the prevailing view that adult microglia are maintained by local self-renewal with minimal inter-regional migration (23). We interpret these signals as developmental colonization residuals—transcriptomic boundaries between microglial populations that entered the brain through distinct embryonic entry routes. Shemer and Jung (37) comprehensively reviewed the molecular determinants of microglial developmental colonization, identifying three major invasion routes: the pial surface, the ventricular zone, and the vasculature. Critically, colonization proceeds in a rostral-to-caudal wave, with forebrain regions colonized earlier than midbrain and hindbrain structures. Menassa et al. (20) confirmed this spatiotemporal gradient in human fetal brain, showing that microglial density peaks in the cortical subplate at mid-gestation before declining as cells redistribute. Barry-Carroll et al. (40)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DTg, PnAN, PnEN, MoRF-MoEN). The inferior colliculus (IC), a midbrain auditory relay, appears in 4 of 10 Strong pairs and we propose that IC represents a contact zone where forebrain-derived and hindbrain-derived microglial colonization waves meet. DTg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pPr>
        <w:pStyle w:val="Heading3"/>
        <w:spacing w:before="240" w:after="120"/>
      </w:pPr>
      <w:r>
        <w:rPr>
          <w:rFonts w:ascii="Arial" w:hAnsi="Arial"/>
          <w:color w:val="000000"/>
          <w:sz w:val="24"/>
          <w:b/>
        </w:rPr>
        <w:t>Vascular cells: blood-brain barrier regional identity</w:t>
      </w:r>
    </w:p>
    <w:p>
      <w:pPr>
        <w:spacing w:line="276" w:lineRule="auto" w:after="60"/>
        <w:ind w:firstLine="0"/>
      </w:pPr>
      <w:r>
        <w:rPr>
          <w:rFonts w:ascii="Arial" w:hAnsi="Arial"/>
          <w:b w:val="0"/>
          <w:i w:val="0"/>
          <w:color w:val="000000"/>
          <w:sz w:val="22"/>
        </w:rPr>
        <w:t>Vascular cells contributed 3 Strong signals, all involving ITG (inferior temporal gyrus, cortical) paired with brainstem structures (PB, PnRF, SN). Adult brain endothelial cells have a proliferation rate of ~0.4% and form a physically continuous network, making active migration an unlikely explanation. Schaffenrath et al. (39)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functional divergence detectable only as modest deviations from the global vascular ω baseline.</w:t>
      </w:r>
    </w:p>
    <w:p>
      <w:pPr>
        <w:pStyle w:val="Heading3"/>
        <w:spacing w:before="240" w:after="120"/>
      </w:pPr>
      <w:r>
        <w:rPr>
          <w:rFonts w:ascii="Arial" w:hAnsi="Arial"/>
          <w:color w:val="000000"/>
          <w:sz w:val="24"/>
          <w:b/>
        </w:rPr>
        <w:t>Fibroblast: the sole postnatal migration signal</w:t>
      </w:r>
    </w:p>
    <w:p>
      <w:pPr>
        <w:spacing w:line="276" w:lineRule="auto" w:after="60"/>
        <w:ind w:firstLine="0"/>
      </w:pPr>
      <w:r>
        <w:rPr>
          <w:rFonts w:ascii="Arial" w:hAnsi="Arial"/>
          <w:b w:val="0"/>
          <w:i w:val="0"/>
          <w:color w:val="000000"/>
          <w:sz w:val="22"/>
        </w:rPr>
        <w:t>Perivascular fibroblasts contributed 1 Strong signal (A40 vs. SN, residual = 0.299)—the only Strong candidate among all 30 that can be parsimoniously attributed to postnatal cell migration. Jones et al. (38) demonstrated that brain perivascular fibroblasts originate from the meninges and migrate along penetrating vessels into the brain parenchyma during postnatal development.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and the detection of a single Strong signal from this sparse population demonstrates the multiplicative residual model's sensitivity to genuine migration events with limited statistical power.</w:t>
      </w:r>
    </w:p>
    <w:p>
      <w:pPr>
        <w:pStyle w:val="Heading1"/>
        <w:spacing w:before="240" w:after="120"/>
      </w:pPr>
      <w:r>
        <w:rPr>
          <w:rFonts w:ascii="Arial" w:hAnsi="Arial"/>
          <w:color w:val="000000"/>
          <w:sz w:val="32"/>
          <w:b/>
        </w:rPr>
        <w:t>Discussion</w:t>
      </w:r>
    </w:p>
    <w:p>
      <w:pPr>
        <w:spacing w:line="276" w:lineRule="auto" w:after="6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genes provide a built-in baseline reference, heuristically analogous to the use of synonymous sites in Ka/Ks analysis. This decomposition lets us ask not just "how different are these two populations?" but "how much of that difference is functionally informative versus baseline?" Importantly, CKI is a heuristic index, not a formal measure of Darwinian selection. Unlike Ka/Ks—where a shared mutation rate (μ) cancels mathematically in the ratio, leaving a pure selection signal—CKI lacks an analogous cancellation mechanism. Its ω = 1 does not carry population-genetic meaning of neutrality; rather, it is an empirically calibrated operational baseline (mean observational ω = 1.54 for equivalent populations). We use ω &lt; 1, ω ≈ 1, and ω &gt; 1 as convenient operational thresholds for functional constraint, baseline-level divergence, and enhanced divergence, respectively, not as claims about Darwinian selection regimes.</w:t>
      </w:r>
    </w:p>
    <w:p>
      <w:pPr>
        <w:spacing w:line="276" w:lineRule="auto" w:after="6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proves that CKI captures information that existing approaches miss.</w:t>
      </w:r>
    </w:p>
    <w:p>
      <w:pPr>
        <w:spacing w:line="276" w:lineRule="auto" w:after="6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(21); CKI operates on continuous expression vectors without an evolutionary substitution model. Second, the baseline reference in Ka/Ks has a mechanistic basis in the genetic code (synonymous sites), whereas HK genes are defined empirically by data-driven criteria and may be subject to stabilizing selection on expression levels (41,42)—a possibility we acknowledge and partly address through sensitivity analysis showing robustness to alternative HK definitions (r &gt; 0.95). Third, CKI currently lacks a formal phylogenetic framework analogous to Ornstein-Uhlenbeck models (43,44) that dominate expression evolution analysis. Integrating CKI’s baseline-normalized decomposition with OU-based selection strength estimation is a promising direction for future theoretical development. Fourth, CKI ω is computed on different gene sets per comparison (pairwise DE genes for k_f), which limits cross-comparison absolute interpretability; users should compare ω ranks rather than absolute values across datasets. Despite these caveats, CKI’s heuristic framework provides a practical tool for identifying functionally informative transcriptomic divergence that standard metrics systematically miss.</w:t>
      </w:r>
    </w:p>
    <w:p>
      <w:pPr>
        <w:spacing w:line="276" w:lineRule="auto" w:after="60"/>
        <w:ind w:firstLine="0"/>
      </w:pPr>
      <w:r>
        <w:rPr>
          <w:rFonts w:ascii="Arial" w:hAnsi="Arial"/>
          <w:b w:val="0"/>
          <w:i w:val="0"/>
          <w:color w:val="000000"/>
          <w:sz w:val="22"/>
        </w:rPr>
        <w:t>CKI complements rather than replaces existing methods. SAMap (15) and SATURN (3) excel at cross-species alignment; CACIMAR (22) provides conservation scoring that could be reinterpreted through the CKI lens. More broadly, CKI provides a principled null model for any transcriptomic comparison: before concluding that two populations are meaningfully different, ask whether the difference exceeds baseline expectation.</w:t>
      </w:r>
    </w:p>
    <w:p>
      <w:pPr>
        <w:spacing w:line="276" w:lineRule="auto" w:after="60"/>
        <w:ind w:firstLine="0"/>
      </w:pPr>
      <w:r>
        <w:rPr>
          <w:rFonts w:ascii="Arial" w:hAnsi="Arial"/>
          <w:b w:val="0"/>
          <w:i w:val="0"/>
          <w:color w:val="000000"/>
          <w:sz w:val="22"/>
        </w:rP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The PAM50 analysis reinforces this: aggressive subtypes show the strongest convergence, consistent with proliferation programs overriding tissue-specific expression.</w:t>
      </w:r>
    </w:p>
    <w:p>
      <w:pPr>
        <w:spacing w:line="276" w:lineRule="auto" w:after="6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reflect four distinct biological mechanisms: (i) developmental origin heterogeneity—oligodendrocyte dorsal/ventral origin differences (35) explain all 10 oligodendrocyte Strong signals as cortex vs. thalamus/brainstem boundaries; (ii) embryonic colonization route discontinuities—microglial rostral-to-caudal colonization waves (20,37,40) create transcriptomic boundaries at the forebrain-midbrain interface, with the inferior colliculus identified as a candidate contact zone; and (iii) compartmentalized developmental astrogenesis and vascular specification (18,39); and (iv) postnatal cell migration—the perivascular fibroblast A40-SN signal is consistent with known postnatal meningeal-to-parenchymal fibroblast migration (38). Importantly, OPCs—the most actively migrating cells in the adult CNS (13,17)—yielded 0 Strong signals among 5,671 comparisons, providing a powerful orthogonal validation that the residual model specifically detects fixed developmental signatures rather than ongoing cell motility. Together, these results demonstrate that CKI detects persistent transcriptional signatures of developmental history—origin, colonization route, specification, and in one case, postnatal migration—embedded in adult transcriptomic data. This reframing opens new applications for adult single-cell atlases as archives of developmental information.</w:t>
      </w:r>
    </w:p>
    <w:p>
      <w:pPr>
        <w:spacing w:line="276" w:lineRule="auto" w:after="6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data-driven auto-detection (combined detection-rate and CV filtering) as the universal default, with optional HRT Atlas enhancement (4) for human and mouse. Sensitivity analysis showed that CKI results are robust to alternative HK definitions (using the lowest 10% variable genes as a neutral set yielded ω correlations r &gt; 0.95). Third, the use of highly variable genes (HVGs) for k_f could introduce selection bias: by pre-selecting genes that vary across cell types, k_f may be inflated relative to a random gene set. However, the calibration controls (random split of the same population, mean ω = 1.54) demonstrate that HVG selection alone does not inflate ω—when two populations are biologically equivalent, k_f and k_n are comparably small, yielding ω ≈ 1. This null simulation confirms that ω &gt; 1 arises from genuine biological signal, not from the gene selection procedure. Fourth, TCGA analysis was limited to bulk RNA-seq resolution; single-cell or spatial transcriptomic data would enable finer perturbation quantification. Fifth, the brain analysis uses post-mortem tissue; developmental time courses would provide stronger evidence for migration inference.</w:t>
      </w:r>
    </w:p>
    <w:p>
      <w:pPr>
        <w:spacing w:line="276" w:lineRule="auto" w:after="6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240" w:after="120"/>
      </w:pPr>
      <w:r>
        <w:rPr>
          <w:rFonts w:ascii="Arial" w:hAnsi="Arial"/>
          <w:color w:val="000000"/>
          <w:sz w:val="32"/>
          <w:b/>
        </w:rPr>
        <w:t>Data availability</w:t>
      </w:r>
    </w:p>
    <w:p>
      <w:pPr>
        <w:spacing w:line="276" w:lineRule="auto" w:after="60"/>
        <w:ind w:firstLine="0"/>
      </w:pPr>
      <w:r>
        <w:rPr>
          <w:rFonts w:ascii="Arial" w:hAnsi="Arial"/>
          <w:b w:val="0"/>
          <w:i w:val="0"/>
          <w:color w:val="000000"/>
          <w:sz w:val="22"/>
        </w:rPr>
        <w:t>Tabula Muris data: GEO accession GSE109774. Tabula Sapiens data: CZ CELLxGENE Discover (https://cellxgene.cziscience.com/). TCGA data: NCI Genomic Data Commons (https://portal.gdc.cancer.gov/). HRT Atlas (optional human/mouse HK reference): https://www.housekeeping.unicamp.br. Human brain atlas: CZ CELLxGENE Discover (collection ID as referenced in (9)). PAM50 centroids: from Parker et al. (11). MSigDB Hallmark gene sets: from Liberzon et al. (34). The CKI source code (v0.3.1, MIT License) is publicly available at https://github.com/zhanglknt/CKI-cell-type-identification (tag v0.3.1). A permanent archival copy has been deposited at Zenodo (DOI: 10.5281/zenodo.15670808). All analysis notebooks and processed data matrices are included in the Supplementary Data.</w:t>
      </w:r>
    </w:p>
    <w:p>
      <w:pPr>
        <w:pStyle w:val="Heading1"/>
        <w:spacing w:before="240" w:after="120"/>
      </w:pPr>
      <w:r>
        <w:rPr>
          <w:rFonts w:ascii="Arial" w:hAnsi="Arial"/>
          <w:color w:val="000000"/>
          <w:sz w:val="32"/>
          <w:b/>
        </w:rPr>
        <w:t>Supplementary Data</w:t>
      </w:r>
    </w:p>
    <w:p>
      <w:pPr>
        <w:spacing w:line="276" w:lineRule="auto" w:after="60"/>
        <w:ind w:firstLine="0"/>
      </w:pPr>
      <w:r>
        <w:rPr>
          <w:rFonts w:ascii="Arial" w:hAnsi="Arial"/>
          <w:b w:val="0"/>
          <w:i w:val="0"/>
          <w:color w:val="000000"/>
          <w:sz w:val="22"/>
        </w:rPr>
        <w:t>Supplementary Data are available at NAR Online.</w:t>
      </w:r>
    </w:p>
    <w:p>
      <w:pPr>
        <w:pStyle w:val="Heading1"/>
        <w:spacing w:before="240" w:after="120"/>
      </w:pPr>
      <w:r>
        <w:rPr>
          <w:rFonts w:ascii="Arial" w:hAnsi="Arial"/>
          <w:color w:val="000000"/>
          <w:sz w:val="32"/>
          <w:b/>
        </w:rPr>
        <w:t>Acknowledgements</w:t>
      </w:r>
    </w:p>
    <w:p>
      <w:pPr>
        <w:spacing w:line="276" w:lineRule="auto" w:after="6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w:t>
      </w:r>
    </w:p>
    <w:p>
      <w:pPr>
        <w:pStyle w:val="Heading1"/>
        <w:spacing w:before="240" w:after="120"/>
      </w:pPr>
      <w:r>
        <w:rPr>
          <w:rFonts w:ascii="Arial" w:hAnsi="Arial"/>
          <w:color w:val="000000"/>
          <w:sz w:val="32"/>
          <w:b/>
        </w:rPr>
        <w:t>Author contributions</w:t>
      </w:r>
    </w:p>
    <w:p>
      <w:pPr>
        <w:spacing w:line="276" w:lineRule="auto" w:after="6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240" w:after="120"/>
      </w:pPr>
      <w:r>
        <w:rPr>
          <w:rFonts w:ascii="Arial" w:hAnsi="Arial"/>
          <w:color w:val="000000"/>
          <w:sz w:val="32"/>
          <w:b/>
        </w:rPr>
        <w:t>Funding</w:t>
      </w:r>
    </w:p>
    <w:p>
      <w:pPr>
        <w:spacing w:line="276" w:lineRule="auto" w:after="6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240" w:after="120"/>
      </w:pPr>
      <w:r>
        <w:rPr>
          <w:rFonts w:ascii="Arial" w:hAnsi="Arial"/>
          <w:color w:val="000000"/>
          <w:sz w:val="32"/>
          <w:b/>
        </w:rPr>
        <w:t>Conflict of interest</w:t>
      </w:r>
    </w:p>
    <w:p>
      <w:pPr>
        <w:spacing w:line="276" w:lineRule="auto" w:after="60"/>
        <w:ind w:firstLine="0"/>
      </w:pPr>
      <w:r>
        <w:rPr>
          <w:rFonts w:ascii="Arial" w:hAnsi="Arial"/>
          <w:b w:val="0"/>
          <w:i w:val="0"/>
          <w:color w:val="000000"/>
          <w:sz w:val="22"/>
        </w:rPr>
        <w:t>The authors declare no competing interests.</w:t>
      </w:r>
    </w:p>
    <w:p>
      <w:pPr>
        <w:pStyle w:val="Heading1"/>
        <w:spacing w:before="240" w:after="120"/>
      </w:pPr>
      <w:r>
        <w:rPr>
          <w:rFonts w:ascii="Arial" w:hAnsi="Arial"/>
          <w:color w:val="000000"/>
          <w:sz w:val="32"/>
          <w:b/>
        </w:rPr>
        <w:t>Figure legends</w:t>
      </w:r>
    </w:p>
    <w:p>
      <w:pPr>
        <w:spacing w:line="276" w:lineRule="auto" w:after="6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selective transcriptomic remodeling. (b) Computational pipeline: raw count matrix → pseudobulk → JS divergence on HK genes (k_n) and identity genes (k_f) → ω = k_f/k_n. (c) Bootstrap ω distribution (B = 500 permutations, mouse pilot) with median indicated by dashed line. (d) Scatter plot of k_n vs. k_f, showing that functional variation dominates neutral baseline. (e) ω distribution with ω = 1 (neutral) marked by dashed line.</w:t>
      </w:r>
    </w:p>
    <w:p>
      <w:pPr>
        <w:spacing w:line="276" w:lineRule="auto" w:after="6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neutral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60"/>
        <w:ind w:firstLine="0"/>
      </w:pPr>
      <w:r>
        <w:rPr>
          <w:rFonts w:ascii="Arial" w:hAnsi="Arial"/>
          <w:b w:val="0"/>
          <w:i w:val="0"/>
          <w:color w:val="000000"/>
          <w:sz w:val="22"/>
        </w:rPr>
        <w:t>Figure 3. CKI captures independent information. (a) Spearman correlation heatmap of five metrics on n = 4,851 Tabula Sapiens pairs. CKI ω is negatively correlated with all four standard metrics. Standard metrics form a positive cluster. (b) Scatter plot of CKI ω vs. k_n (neutral rate) on Tabula Sapiens data (n = 4,851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neutral (k_n) and functional (k_f) components.</w:t>
      </w:r>
    </w:p>
    <w:p>
      <w:pPr>
        <w:spacing w:line="276" w:lineRule="auto" w:after="6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Cohen's d effect sizes for NN vs. TT comparisons per cancer type. (e) Tissue-level pairwise ω matrix heatmap across five cancer types.</w:t>
      </w:r>
    </w:p>
    <w:p>
      <w:pPr>
        <w:spacing w:line="276" w:lineRule="auto" w:after="60"/>
        <w:ind w:firstLine="0"/>
      </w:pPr>
      <w:r>
        <w:rPr>
          <w:rFonts w:ascii="Arial" w:hAnsi="Arial"/>
          <w:b w:val="0"/>
          <w:i w:val="0"/>
          <w:color w:val="000000"/>
          <w:sz w:val="22"/>
        </w:rPr>
        <w:t>Figure 5. Cross-organ cell-type conservation. (a) CKI ω ranking of 38 shared cell types between human and mouse.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6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pair median ω &gt; 20) among 31,764 cross-region comparisons. (e) Observed vs. expected ω for migration candidates, showing the gap between observed regional similarity and the cell-type-specific expectation.</w:t>
      </w:r>
    </w:p>
    <w:p>
      <w:pPr>
        <w:pStyle w:val="Heading1"/>
        <w:spacing w:before="240" w:after="120"/>
      </w:pPr>
      <w:r>
        <w:rPr>
          <w:rFonts w:ascii="Arial" w:hAnsi="Arial"/>
          <w:color w:val="000000"/>
          <w:sz w:val="32"/>
          <w:b/>
        </w:rPr>
        <w:t>Supplementary Figure legends</w:t>
      </w:r>
    </w:p>
    <w:p>
      <w:pPr>
        <w:spacing w:line="276" w:lineRule="auto" w:after="6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6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4,851 pairs).</w:t>
      </w:r>
    </w:p>
    <w:p>
      <w:pPr>
        <w:spacing w:line="276" w:lineRule="auto" w:after="60"/>
        <w:ind w:firstLine="0"/>
      </w:pPr>
      <w:r>
        <w:rPr>
          <w:rFonts w:ascii="Arial" w:hAnsi="Arial"/>
          <w:b w:val="0"/>
          <w:i w:val="0"/>
          <w:color w:val="000000"/>
          <w:sz w:val="22"/>
        </w:rPr>
        <w:t>Supplementary Figure S3. TCGA per-cancer matrices. Pairwise ω matrices for six cancer types (BRCA, KIRC, LIHC, LUAD, COAD, HNSC) showing tissue-level transcriptomic divergence structure within each cancer cohort.</w:t>
      </w:r>
    </w:p>
    <w:p>
      <w:pPr>
        <w:spacing w:line="276" w:lineRule="auto" w:after="6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6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6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showing no significant correlation, ruling out sampling bias. (d) Region-region ω matrix for astrocytes across brain regions, with hierarchical clustering. (e) Top migration candidates by tier (Strong, Moderate, Weak), ranked by multiplicative residual.</w:t>
      </w:r>
    </w:p>
    <w:p>
      <w:pPr>
        <w:spacing w:line="276" w:lineRule="auto" w:after="6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provide key negative control, validating that the model detects developmental origin signatures rather than general motility. (c) Top 10 Strong candidates ranked by multiplicative residual, annotated with cell type, region pair, and biological mechanism: DO (developmental origin), CR (colonization route), DS (developmental specification), or PM (postnatal migration). (d) Migration candidates by cell type and confidence tier, showing tier distribution across all 10 non-neuronal cell classes.</w:t>
      </w:r>
    </w:p>
    <w:p>
      <w:pPr>
        <w:pStyle w:val="Heading1"/>
        <w:spacing w:before="240" w:after="120"/>
      </w:pPr>
      <w:r>
        <w:rPr>
          <w:rFonts w:ascii="Arial" w:hAnsi="Arial"/>
          <w:color w:val="000000"/>
          <w:sz w:val="32"/>
          <w:b/>
        </w:rPr>
        <w:t>References</w:t>
      </w:r>
    </w:p>
    <w:p>
      <w:pPr>
        <w:spacing w:line="276" w:lineRule="auto" w:after="4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40"/>
      </w:pPr>
      <w:r>
        <w:rPr>
          <w:rFonts w:ascii="Arial" w:hAnsi="Arial"/>
          <w:color w:val="000000"/>
          <w:sz w:val="20"/>
        </w:rPr>
        <w:t>Lopez,R., Regier,J., Cole,M.B., Jordan,M.I. and Yosef,N. (2018) Deep generative modeling for single-cell transcriptomics. *Nat. Methods*, **15**, 1053–1058.</w:t>
      </w:r>
    </w:p>
    <w:p>
      <w:pPr>
        <w:spacing w:line="276" w:lineRule="auto" w:after="4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4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40"/>
      </w:pPr>
      <w:r>
        <w:rPr>
          <w:rFonts w:ascii="Arial" w:hAnsi="Arial"/>
          <w:color w:val="000000"/>
          <w:sz w:val="20"/>
        </w:rPr>
        <w:t>Tabula Muris Consortium (2018) Single-cell transcriptomics of 20 mouse organs creates a Tabula Muris. *Nature*, **562**, 367–372.</w:t>
      </w:r>
    </w:p>
    <w:p>
      <w:pPr>
        <w:spacing w:line="276" w:lineRule="auto" w:after="40"/>
      </w:pPr>
      <w:r>
        <w:rPr>
          <w:rFonts w:ascii="Arial" w:hAnsi="Arial"/>
          <w:color w:val="000000"/>
          <w:sz w:val="20"/>
        </w:rPr>
        <w:t>Tabula Sapiens Consortium (2022) The Tabula Sapiens: a multiple-organ, single-cell transcriptomic atlas of humans. *Science*, **376**, eabl4896.</w:t>
      </w:r>
    </w:p>
    <w:p>
      <w:pPr>
        <w:spacing w:line="276" w:lineRule="auto" w:after="40"/>
      </w:pPr>
      <w:r>
        <w:rPr>
          <w:rFonts w:ascii="Arial" w:hAnsi="Arial"/>
          <w:color w:val="000000"/>
          <w:sz w:val="20"/>
        </w:rPr>
        <w:t>Cancer Genome Atlas Research Network (2014) Comprehensive molecular profiling of lung adenocarcinoma. *Nature*, **511**, 543–550.</w:t>
      </w:r>
    </w:p>
    <w:p>
      <w:pPr>
        <w:spacing w:line="276" w:lineRule="auto" w:after="40"/>
      </w:pPr>
      <w:r>
        <w:rPr>
          <w:rFonts w:ascii="Arial" w:hAnsi="Arial"/>
          <w:color w:val="000000"/>
          <w:sz w:val="20"/>
        </w:rPr>
        <w:t>Cancer Genome Atlas Network (2012) Comprehensive molecular portraits of human breast tumours. *Nature*, **490**, 61–70.</w:t>
      </w:r>
    </w:p>
    <w:p>
      <w:pPr>
        <w:spacing w:line="276" w:lineRule="auto" w:after="4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40"/>
      </w:pPr>
      <w:r>
        <w:rPr>
          <w:rFonts w:ascii="Arial" w:hAnsi="Arial"/>
          <w:color w:val="000000"/>
          <w:sz w:val="20"/>
        </w:rPr>
        <w:t>Edmondson,H.A. and Steiner,P.E. (1954) Primary carcinoma of the liver: a study of 100 cases among 48,900 necropsies. *Cancer*, **7**, 462–503.</w:t>
      </w:r>
    </w:p>
    <w:p>
      <w:pPr>
        <w:spacing w:line="276" w:lineRule="auto" w:after="4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4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4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4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4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4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4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4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4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4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40"/>
      </w:pPr>
      <w:r>
        <w:rPr>
          <w:rFonts w:ascii="Arial" w:hAnsi="Arial"/>
          <w:color w:val="000000"/>
          <w:sz w:val="20"/>
        </w:rPr>
        <w:t>Yang,Z. (2007) PAML 4: phylogenetic analysis by maximum likelihood. *Mol. Biol. Evol.*, **24**, 1586–1591.</w:t>
      </w:r>
    </w:p>
    <w:p>
      <w:pPr>
        <w:spacing w:line="276" w:lineRule="auto" w:after="4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40"/>
      </w:pPr>
      <w:r>
        <w:rPr>
          <w:rFonts w:ascii="Arial" w:hAnsi="Arial"/>
          <w:color w:val="000000"/>
          <w:sz w:val="20"/>
        </w:rPr>
        <w:t>Tan,Y.L., Yuan,Y. and Tian,L. (2020) Microglial regional heterogeneity and its role in the brain. *Mol. Psychiatry*, **25**, 351–367.</w:t>
      </w:r>
    </w:p>
    <w:p>
      <w:pPr>
        <w:spacing w:line="276" w:lineRule="auto" w:after="40"/>
      </w:pPr>
      <w:r>
        <w:rPr>
          <w:rFonts w:ascii="Arial" w:hAnsi="Arial"/>
          <w:color w:val="000000"/>
          <w:sz w:val="20"/>
        </w:rPr>
        <w:t>Storey,J.D. and Tibshirani,R. (2003) Statistical significance for genomewide studies. *Proc. Natl. Acad. Sci. USA*, **100**, 9440–9445.</w:t>
      </w:r>
    </w:p>
    <w:p>
      <w:pPr>
        <w:spacing w:line="276" w:lineRule="auto" w:after="40"/>
      </w:pPr>
      <w:r>
        <w:rPr>
          <w:rFonts w:ascii="Arial" w:hAnsi="Arial"/>
          <w:color w:val="000000"/>
          <w:sz w:val="20"/>
        </w:rPr>
        <w:t>Wolf,F.A., Angerer,P. and Theis,F.J. (2018) SCANPY: large-scale single-cell gene expression data analysis. *Genome Biol.*, **19**, 15.</w:t>
      </w:r>
    </w:p>
    <w:p>
      <w:pPr>
        <w:spacing w:line="276" w:lineRule="auto" w:after="4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4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4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4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40"/>
      </w:pPr>
      <w:r>
        <w:rPr>
          <w:rFonts w:ascii="Arial" w:hAnsi="Arial"/>
          <w:color w:val="000000"/>
          <w:sz w:val="20"/>
        </w:rPr>
        <w:t>Luecken,M.D. and Theis,F.J. (2019) Current best practices in single-cell RNA-seq analysis: a tutorial. *Mol. Syst. Biol.*, **15**, e8746.</w:t>
      </w:r>
    </w:p>
    <w:p>
      <w:pPr>
        <w:spacing w:line="276" w:lineRule="auto" w:after="4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4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4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40"/>
      </w:pPr>
      <w:r>
        <w:rPr>
          <w:rFonts w:ascii="Arial" w:hAnsi="Arial"/>
          <w:color w:val="000000"/>
          <w:sz w:val="20"/>
        </w:rPr>
        <w:t>Liberzon,A., Birger,C., Thorvaldsdóttir,H., Ghandi,M., Mesirov,J.P. and Tamayo,P. (2015) The Molecular Signatures Database Hallmark Gene Set Collection. *Cell Syst.*, **1**, 417–425.</w:t>
      </w:r>
    </w:p>
    <w:p>
      <w:pPr>
        <w:spacing w:line="276" w:lineRule="auto" w:after="4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4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40"/>
      </w:pPr>
      <w:r>
        <w:rPr>
          <w:rFonts w:ascii="Arial" w:hAnsi="Arial"/>
          <w:color w:val="000000"/>
          <w:sz w:val="20"/>
        </w:rPr>
        <w:t>Shemer,A. and Jung,S. (2024) The molecular determinants of microglial developmental colonization. *Nat. Rev. Neurosci.*, **25**, 414–427.</w:t>
      </w:r>
    </w:p>
    <w:p>
      <w:pPr>
        <w:spacing w:line="276" w:lineRule="auto" w:after="4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4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4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40"/>
      </w:pPr>
      <w:r>
        <w:rPr>
          <w:rFonts w:ascii="Arial" w:hAnsi="Arial"/>
          <w:color w:val="000000"/>
          <w:sz w:val="20"/>
        </w:rPr>
        <w:t>Reeber,S.L., Arancillo,M. and Sillitoe,R.V. (2015) Bergmann glia are patterned into topographic molecular zones in the cerebellum. *Cerebellum*, **14**, 392–403.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