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Materials</w:t>
      </w:r>
    </w:p>
    <w:p>
      <w:r>
        <w:rPr>
          <w:rFonts w:ascii="Arial" w:hAnsi="Arial"/>
          <w:b w:val="0"/>
          <w:color w:val="000000"/>
          <w:sz w:val="22"/>
        </w:rPr>
        <w:t>CKI: A Cell-state Kinetic Index for Quantifying Selective Transcriptomic Remodeling</w:t>
      </w:r>
    </w:p>
    <w:p>
      <w:r>
        <w:rPr>
          <w:rFonts w:ascii="Arial" w:hAnsi="Arial"/>
          <w:b w:val="0"/>
          <w:color w:val="000000"/>
          <w:sz w:val="22"/>
        </w:rPr>
        <w:t>Li Zhang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Table of Contents</w:t>
      </w:r>
    </w:p>
    <w:p>
      <w:r>
        <w:rPr>
          <w:rFonts w:ascii="Arial" w:hAnsi="Arial"/>
          <w:b w:val="0"/>
          <w:color w:val="000000"/>
          <w:sz w:val="22"/>
        </w:rPr>
        <w:t>Supplementary Note 1: CKI Mathematical Derivation</w:t>
      </w:r>
    </w:p>
    <w:p>
      <w:r>
        <w:rPr>
          <w:rFonts w:ascii="Arial" w:hAnsi="Arial"/>
          <w:b w:val="0"/>
          <w:color w:val="000000"/>
          <w:sz w:val="22"/>
        </w:rPr>
        <w:t>Supplementary Note 2: CKI Algorithm Pseudocode</w:t>
      </w:r>
    </w:p>
    <w:p>
      <w:r>
        <w:rPr>
          <w:rFonts w:ascii="Arial" w:hAnsi="Arial"/>
          <w:b w:val="0"/>
          <w:color w:val="000000"/>
          <w:sz w:val="22"/>
        </w:rPr>
        <w:t>Supplementary Note 3: Statistical Testing Details</w:t>
      </w:r>
    </w:p>
    <w:p>
      <w:r>
        <w:rPr>
          <w:rFonts w:ascii="Arial" w:hAnsi="Arial"/>
          <w:b w:val="0"/>
          <w:color w:val="000000"/>
          <w:sz w:val="22"/>
        </w:rPr>
        <w:t>Supplementary Note 4: Dataset Quality Control and Filtering Criteria</w:t>
      </w:r>
    </w:p>
    <w:p>
      <w:r>
        <w:rPr>
          <w:rFonts w:ascii="Arial" w:hAnsi="Arial"/>
          <w:b w:val="0"/>
          <w:color w:val="000000"/>
          <w:sz w:val="22"/>
        </w:rPr>
        <w:t>Supplementary Table 1: Parameter Sweep Results (Phase 3.2)</w:t>
      </w:r>
    </w:p>
    <w:p>
      <w:r>
        <w:rPr>
          <w:rFonts w:ascii="Arial" w:hAnsi="Arial"/>
          <w:b w:val="0"/>
          <w:color w:val="000000"/>
          <w:sz w:val="22"/>
        </w:rPr>
        <w:t>Supplementary Table 2: Cross-Organ Conservation Data (Phase 3.5)</w:t>
      </w:r>
    </w:p>
    <w:p>
      <w:r>
        <w:rPr>
          <w:rFonts w:ascii="Arial" w:hAnsi="Arial"/>
          <w:b w:val="0"/>
          <w:color w:val="000000"/>
          <w:sz w:val="22"/>
        </w:rPr>
        <w:t>Supplementary Table 3: Human Brain Non-neuronal Cell Regional CKI Data</w:t>
      </w:r>
    </w:p>
    <w:p>
      <w:r>
        <w:rPr>
          <w:rFonts w:ascii="Arial" w:hAnsi="Arial"/>
          <w:b w:val="0"/>
          <w:color w:val="000000"/>
          <w:sz w:val="22"/>
        </w:rPr>
        <w:t>Supplementary Table 4: Inter-regional Cell Migration Candidate Data</w:t>
      </w:r>
    </w:p>
    <w:p>
      <w:r>
        <w:rPr>
          <w:rFonts w:ascii="Arial" w:hAnsi="Arial"/>
          <w:b w:val="0"/>
          <w:color w:val="000000"/>
          <w:sz w:val="22"/>
        </w:rPr>
        <w:t>Supplementary Data 1: Complete Analysis Script Index</w:t>
      </w:r>
    </w:p>
    <w:p>
      <w:r>
        <w:br w:type="page"/>
      </w:r>
    </w:p>
    <w:p>
      <w:pPr>
        <w:pStyle w:val="Heading2"/>
      </w:pPr>
      <w:r>
        <w:t>Supplementary Note 1: CKI Mathematical Derivation</w:t>
      </w:r>
    </w:p>
    <w:p>
      <w:r>
        <w:rPr>
          <w:rFonts w:ascii="Arial" w:hAnsi="Arial"/>
          <w:b/>
          <w:color w:val="000000"/>
          <w:sz w:val="22"/>
        </w:rPr>
        <w:t>1.1 Jensen-Shannon Divergence</w:t>
      </w:r>
    </w:p>
    <w:p>
      <w:r>
        <w:rPr>
          <w:rFonts w:ascii="Arial" w:hAnsi="Arial"/>
          <w:b w:val="0"/>
          <w:color w:val="000000"/>
          <w:sz w:val="22"/>
        </w:rPr>
        <w:t>The Jensen-Shannon (JS) divergence is a symmetrized and smoothed version of the Kullback-Leibler divergence. For two probability vectors p and q: JS(p, q) = 1/2 D(p||m) + 1/2 D(q||m), where m = 1/2(p+q), and D(p||q) = Σ p_i log2(p_i/q_i). When using the base-2 logarithm, the JS divergence is bounded in [0, 1]. This bound is important for interpreting omega: when both k_n and k_f approach 1, omega = k_f/k_n may still vary, and in practice omega is capped at 1,000. Before CKI computation, expression vectors are normalized to probability distributions via softmax normalization (p_i = exp(x_i)/Σexp(x_j)).</w:t>
      </w:r>
    </w:p>
    <w:p>
      <w:r>
        <w:rPr>
          <w:rFonts w:ascii="Arial" w:hAnsi="Arial"/>
          <w:b/>
          <w:color w:val="000000"/>
          <w:sz w:val="22"/>
        </w:rPr>
        <w:t>1.2 Baseline Divergence Rate k_n</w:t>
      </w:r>
    </w:p>
    <w:p>
      <w:r>
        <w:rPr>
          <w:rFonts w:ascii="Arial" w:hAnsi="Arial"/>
          <w:b w:val="0"/>
          <w:color w:val="000000"/>
          <w:sz w:val="22"/>
        </w:rPr>
        <w:t>Housekeeping (HK) genes are defined as genes that maintain stable expression across cell types and conditions. Let H = {g1, ..., gM} be the set of HK gene indices. Given pseudobulk vectors μ_A and μ_B (length G, total number of genes), the baseline divergence rate is: k_n = JS(norm(μ_A[H]), norm(μ_B[H])), where norm() denotes softmax normalization. Rationale: HK genes should not exhibit systematic differences between biologically identical cell populations. The JS divergence observed on HK genes therefore reflects baseline noise: technical variation, stochastic transcriptional bursting, and individual-level physiological differences. k_n thus provides an internal baseline, heuristically analogous to Ks (synonymous substitution rate) in molecular evolution. HK gene set selection: CKI employs data-driven automatic detection of HK genes (joint criteria: detection rate &gt; 0.9 and CV &lt; 30th percentile), supplemented by the HRT Atlas v1.0 consensus set (1,130 human-mouse conserved HK genes) as an optional enhancement. Sensitivity analysis indicates that CKI results are robust to HK set selection: using the top 10% lowest-variance genes as an alternative neutral set yields omega correlations of r &gt; 0.95.</w:t>
      </w:r>
    </w:p>
    <w:p>
      <w:r>
        <w:rPr>
          <w:rFonts w:ascii="Arial" w:hAnsi="Arial"/>
          <w:b/>
          <w:color w:val="000000"/>
          <w:sz w:val="22"/>
        </w:rPr>
        <w:t>1.3 Functional Divergence Rate k_f</w:t>
      </w:r>
    </w:p>
    <w:p>
      <w:r>
        <w:rPr>
          <w:rFonts w:ascii="Arial" w:hAnsi="Arial"/>
          <w:b w:val="0"/>
          <w:color w:val="000000"/>
          <w:sz w:val="22"/>
        </w:rPr>
        <w:t>Identity genes I are defined as genes that capture cell-type-specific functional programs. In the default configuration (w1 = 1.0, w2 = 0.0), I consists of the top-N highly variable genes (HVG), excluding HK genes. The functional divergence rate is: k_f = JS(norm(μ_A[I]), norm(μ_B[I])). Extended configurations can incorporate additional gene sets: (1) regulon activity genes — genes enriched for cell-type-specific transcription factor motifs; (2) pathway enrichment genes — genes from MSigDB pathways differentially active between the two groups; (3) macro-gene embeddings — gene-level embeddings from protein language models (e.g., ESM-2). These extensions use a weighted formulation: k_f = w1*JS(HVG) + w2*JS(pathway) + w3*JS(macro). Parameter sweep (Phase 3.2) showed that the pure identity gene configuration (w1=1.0, w2=w3=0.0) achieved optimal cell type discrimination (AUC = 0.847); this was therefore adopted as the default scheme.</w:t>
      </w:r>
    </w:p>
    <w:p>
      <w:r>
        <w:rPr>
          <w:rFonts w:ascii="Arial" w:hAnsi="Arial"/>
          <w:b/>
          <w:color w:val="000000"/>
          <w:sz w:val="22"/>
        </w:rPr>
        <w:t>1.4 Omega Ratio and Its Interpretation</w:t>
      </w:r>
    </w:p>
    <w:p>
      <w:r>
        <w:rPr>
          <w:rFonts w:ascii="Arial" w:hAnsi="Arial"/>
          <w:b w:val="0"/>
          <w:color w:val="000000"/>
          <w:sz w:val="22"/>
        </w:rPr>
        <w:t>omega = k_f/k_n. Interpretation follows a Ka/Ks analogy: omega ~ 1: the observed transcriptomic difference is consistent with neutral expectation, with no evidence of selective reprogramming; omega &gt;&gt; 1: functional divergence exceeds neutral drift, indicating evidence of selective transcriptional reprogramming; omega &lt;&lt; 1: functional constraint, the two groups are more similar in functional genes than expected from neutral drift (rare in practice). The Ka/Ks analogy is structurally similar but mathematically non-equivalent. Key differences: (1) Ka/Ks operates on sequence alignments with explicit codon models, while CKI operates on continuous expression vectors; (2) the neutral reference in Ka/Ks has a mechanistic basis in the genetic code (synonymous changes are assumed neutral), whereas HK genes in CKI are empirically defined; (3) Ka/Ks uses explicit evolutionary models (e.g., PAML), while CKI uses empirical bootstrap inference.</w:t>
      </w:r>
    </w:p>
    <w:p>
      <w:r>
        <w:rPr>
          <w:rFonts w:ascii="Arial" w:hAnsi="Arial"/>
          <w:b/>
          <w:color w:val="000000"/>
          <w:sz w:val="22"/>
        </w:rPr>
        <w:t>1.5 Bootstrap Permutation Test</w:t>
      </w:r>
    </w:p>
    <w:p>
      <w:r>
        <w:rPr>
          <w:rFonts w:ascii="Arial" w:hAnsi="Arial"/>
          <w:b w:val="0"/>
          <w:color w:val="000000"/>
          <w:sz w:val="22"/>
        </w:rPr>
        <w:t>Statistical inference is performed by generating a null distribution of omega under the null hypothesis that the two cell populations are drawn from the same distribution. Procedure: (1) Annotate all cells in the pooled dataset with their original group labels (A or B); (2) Randomly permute labels B times (default B=500 for the mouse pilot study), recomputing pseudobulk vectors and omega_null each time; (3) Two-sided empirical P-value = 2 × min((count(ω_null ≥ ω_obs) + 1)/(B + 1), (count(ω_null ≤ ω_obs) + 1)/(B + 1)), capped at 1.0, with the +1 term avoiding P = 0; (4) Effect size: Cohen's d = (omega_obs - mean(omega_null))/sd(omega_null). Note: Benjamini-Hochberg FDR correction is NOT systematically applied in the current analyses; all reported P-values are raw empirical P-values. Test critical values at alpha=0.05 are derived from the permutation null distribution (2.5th and 97.5th percentiles). Note: these are permutation-based test critical values for rejecting H0, NOT confidence intervals for omega itself. Bootstrap permutation testing was performed only for the mouse pilot study (15 cell-type pairs, B=500); human, TCGA, and brain atlas analyses used descriptive statistics without permutation testing.</w:t>
      </w:r>
    </w:p>
    <w:p>
      <w:r>
        <w:rPr>
          <w:rFonts w:ascii="Arial" w:hAnsi="Arial"/>
          <w:b/>
          <w:color w:val="000000"/>
          <w:sz w:val="22"/>
        </w:rPr>
        <w:t>1.6 Pseudobulk Construction</w:t>
      </w:r>
    </w:p>
    <w:p>
      <w:r>
        <w:rPr>
          <w:rFonts w:ascii="Arial" w:hAnsi="Arial"/>
          <w:b w:val="0"/>
          <w:color w:val="000000"/>
          <w:sz w:val="22"/>
        </w:rPr>
        <w:t>Raw count matrices X (cells x genes) are preprocessed as follows: (1) Library size normalization: X_norm = 10,000 * (X/colSums(X)); (2) log1p transformation: X_log = log1p(X_norm), stabilizing variance and reducing the influence of high-expression outliers; (3) Pseudobulk: mu = column-wise mean of X_log for all cells with the same cell type annotation, with a minimum of 10 cells per group. For TCGA bulk RNA-seq data, TPM normalization is used instead: TPM values from UCSC Xena, followed by log2(TPM + 0.001) transformation. No pseudobulk step is needed as each sample is already a bulk expression profile.</w:t>
      </w:r>
    </w:p>
    <w:p>
      <w:r>
        <w:br w:type="page"/>
      </w:r>
    </w:p>
    <w:p>
      <w:pPr>
        <w:pStyle w:val="Heading2"/>
      </w:pPr>
      <w:r>
        <w:t>Supplementary Note 2: CKI Algorithm Pseudocode</w:t>
      </w:r>
    </w:p>
    <w:p>
      <w:r>
        <w:rPr>
          <w:rFonts w:ascii="Arial" w:hAnsi="Arial"/>
          <w:b/>
          <w:color w:val="000000"/>
          <w:sz w:val="22"/>
        </w:rPr>
        <w:t>Algorithm 1: CKI Core Computation</w:t>
      </w:r>
    </w:p>
    <w:p>
      <w:r>
        <w:rPr>
          <w:rFonts w:ascii="Arial" w:hAnsi="Arial"/>
          <w:b w:val="0"/>
          <w:color w:val="000000"/>
          <w:sz w:val="22"/>
        </w:rPr>
        <w:t>Input: Two cell populations A and B (expression matrices), HK gene set H, identity gene set I (default top-N HVG excluding H). Output: omega, P-value, Cohen's d, null distribution.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1. X_A, X_B &lt;- library-normalize and log1p-transform A and B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2. mu_A &lt;- mean(X_A, axis=0); mu_B &lt;- mean(X_B, axis=0)  // pseudobulk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3. mu_A_H &lt;- mu_A[H]; mu_B_H &lt;- mu_B[H]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4. k_n &lt;- JS_divergence(norm(mu_A_H), norm(mu_B_H))  // auto-detected normalization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5. mu_A_I &lt;- mu_A[I]; mu_B_I &lt;- mu_B[I]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6. k_f &lt;- JS_divergence(norm(mu_A_I), norm(mu_B_I))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7. omega &lt;- k_f / k_n  // capped at 1,000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8. // Bootstrap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9. labels &lt;- concatenate([A]*n_A, [B]*n_B)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10. for b = 1 to B (default 1,000):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11.     labels_perm &lt;- random_permutation(labels)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12.     A_perm, B_perm &lt;- split by labels_perm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13.     omega_null[b] &lt;- CKI_core(A_perm, B_perm, H, I)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14. // Inference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15. P &lt;- 2 * min((count_above + 1)/(B + 1), (count_below + 1)/(B + 1))  // two-sided +1 pseudocount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16. d &lt;- (omega - mean(omega_null)) / sd(omega_null)</w:t>
      </w:r>
    </w:p>
    <w:p>
      <w:r>
        <w:rPr>
          <w:rFonts w:ascii="Arial" w:hAnsi="Arial"/>
          <w:b w:val="0"/>
          <w:color w:val="000000"/>
          <w:sz w:val="22"/>
        </w:rPr>
      </w:r>
    </w:p>
    <w:p>
      <w:r>
        <w:rPr>
          <w:rFonts w:ascii="Arial" w:hAnsi="Arial"/>
          <w:b/>
          <w:color w:val="000000"/>
          <w:sz w:val="22"/>
        </w:rPr>
        <w:t>Algorithm 2: Pairwise Identity Gene Selection (Tabula Sapiens Extension)</w:t>
      </w:r>
    </w:p>
    <w:p>
      <w:r>
        <w:rPr>
          <w:rFonts w:ascii="Arial" w:hAnsi="Arial"/>
          <w:b w:val="0"/>
          <w:color w:val="000000"/>
          <w:sz w:val="22"/>
        </w:rPr>
        <w:t>Unlike Tabula Muris (global HVG set), Tabula Sapiens employs pairwise identity gene selection to avoid dilution of HVG across 99 cell types.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Input: Pseudobulk vectors mu_A, mu_B; HK set H; top-N parameter N (default 200)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1. Delta &lt;- |mu_A - mu_B|  // per-gene absolute expression difference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2. I &lt;- indices of top-N genes ranked by descending Delta, excluding H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3. k_f &lt;- JS(softmax(mu_A[I]), softmax(mu_B[I]))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Note: k_n uses the global HK set (same for all pairs); k_f uses pairwise top-N genes.</w:t>
      </w:r>
    </w:p>
    <w:p>
      <w:r>
        <w:br w:type="page"/>
      </w:r>
    </w:p>
    <w:p>
      <w:pPr>
        <w:pStyle w:val="Heading2"/>
      </w:pPr>
      <w:r>
        <w:t>Supplementary Note 3: Statistical Testing Details</w:t>
      </w:r>
    </w:p>
    <w:p>
      <w:r>
        <w:rPr>
          <w:rFonts w:ascii="Arial" w:hAnsi="Arial"/>
          <w:b/>
          <w:color w:val="000000"/>
          <w:sz w:val="22"/>
        </w:rPr>
        <w:t>3.1 Tests Performed and Correction Strategy</w:t>
      </w:r>
    </w:p>
    <w:p>
      <w:r>
        <w:rPr>
          <w:rFonts w:ascii="Arial" w:hAnsi="Arial"/>
          <w:b w:val="0"/>
          <w:color w:val="000000"/>
          <w:sz w:val="22"/>
        </w:rPr>
        <w:t>The following statistical tests were used in this study: Mann-Whitney U test (two-sided) for independent comparisons between two groups; Kruskal-Wallis test for multi-group comparisons (e.g., BRCA PAM50 subtypes); Jonckheere-Terpstra trend test for ordered categorical variables (e.g., LIHC Edmondson grade); Spearman rank correlation for correlations between metrics; Bootstrap permutation test (B=500, mouse pilot only) for CKI omega significance inference; ROC-AUC for cell type classification performance assessment.</w:t>
      </w:r>
    </w:p>
    <w:p>
      <w:r>
        <w:rPr>
          <w:rFonts w:ascii="Arial" w:hAnsi="Arial"/>
          <w:b/>
          <w:color w:val="000000"/>
          <w:sz w:val="22"/>
        </w:rPr>
        <w:t>3.2 Bootstrap Details</w:t>
      </w:r>
    </w:p>
    <w:p>
      <w:r>
        <w:rPr>
          <w:rFonts w:ascii="Arial" w:hAnsi="Arial"/>
          <w:b w:val="0"/>
          <w:color w:val="000000"/>
          <w:sz w:val="22"/>
        </w:rPr>
        <w:t>Bootstrap iterations: B=500 for the mouse pilot study (15 cell-type pairs). Bootstrap was not performed for human (Tabula Sapiens), TCGA, or brain atlas analyses, which used descriptive statistics only. For the calibration experiment, two-sided empirical P-values are computed as: P = 2 × min((count(ω_null ≥ ω_obs) + 1)/(B + 1), (count(ω_null ≤ ω_obs) + 1)/(B + 1)), capped at 1.0. Standardized effect size = (ω_obs - mean(ω_null)) / sd(ω_null). In all CKI results, standardized effect sizes are typically &gt; 1.0 for biologically meaningful comparisons, indicating large effects relative to the null distribution.</w:t>
      </w:r>
    </w:p>
    <w:p>
      <w:r>
        <w:rPr>
          <w:rFonts w:ascii="Arial" w:hAnsi="Arial"/>
          <w:b/>
          <w:color w:val="000000"/>
          <w:sz w:val="22"/>
        </w:rPr>
        <w:t>3.3 Multiple Testing Correction</w:t>
      </w:r>
    </w:p>
    <w:p>
      <w:r>
        <w:rPr>
          <w:rFonts w:ascii="Arial" w:hAnsi="Arial"/>
          <w:b w:val="0"/>
          <w:color w:val="000000"/>
          <w:sz w:val="22"/>
        </w:rPr>
        <w:t>Bootstrap permutation testing was performed only for the mouse pilot study (15 cell-type pairs, B=500) and the calibration experiment (n = 6 control pairs). For the larger-scale analyses (Tabula Sapiens: 4,851 pairs; brain atlas: 31,764 pairs; TCGA pan-cancer), descriptive statistics (median, IQR, effect sizes) are reported without permutation testing. The calibration experiment reports raw bootstrap P-values due to the small number of comparisons. For TCGA stratified analyses (BRCA PAM50, LIHC Edmondson) involving 4-5 groups, omnibus tests (Kruskal-Wallis, Jonckheere-Terpstra) are used. Effect sizes are reported alongside all significance statements to distinguish statistical significance from biological magnitude.</w:t>
      </w:r>
    </w:p>
    <w:p>
      <w:r>
        <w:rPr>
          <w:rFonts w:ascii="Arial" w:hAnsi="Arial"/>
          <w:b/>
          <w:color w:val="000000"/>
          <w:sz w:val="22"/>
        </w:rPr>
        <w:t>3.4 Reporting Conventions</w:t>
      </w:r>
    </w:p>
    <w:p>
      <w:r>
        <w:rPr>
          <w:rFonts w:ascii="Arial" w:hAnsi="Arial"/>
          <w:b w:val="0"/>
          <w:color w:val="000000"/>
          <w:sz w:val="22"/>
        </w:rPr>
        <w:t>Summary statistics are reported as mean +/- standard deviation (range) or median [interquartile range]. Boxplots display: median (center line), IQR (box), 1.5x IQR (whiskers), with data points beyond the whiskers shown as outliers. All P-values are two-sided unless otherwise noted. Correlation coefficients (Spearman rho) are reported with P-values. Effect sizes (Cohen's d) are reported for all significant omega comparisons.</w:t>
      </w:r>
    </w:p>
    <w:p>
      <w:r>
        <w:br w:type="page"/>
      </w:r>
    </w:p>
    <w:p>
      <w:pPr>
        <w:pStyle w:val="Heading2"/>
      </w:pPr>
      <w:r>
        <w:t>Supplementary Note 4: Dataset Quality Control and Filtering Criteria</w:t>
      </w:r>
    </w:p>
    <w:p>
      <w:r>
        <w:rPr>
          <w:rFonts w:ascii="Arial" w:hAnsi="Arial"/>
          <w:b/>
          <w:color w:val="000000"/>
          <w:sz w:val="22"/>
        </w:rPr>
        <w:t>4.1 Tabula Muris FACS (Mouse)</w:t>
      </w:r>
    </w:p>
    <w:p>
      <w:r>
        <w:rPr>
          <w:rFonts w:ascii="Arial" w:hAnsi="Arial"/>
          <w:b w:val="0"/>
          <w:color w:val="000000"/>
          <w:sz w:val="22"/>
        </w:rPr>
        <w:t>Downloaded from GEO (GSE109774). FACS-sorted cells (not droplet-based) were used to ensure high per-cell gene detection. QC filtering: cells with &lt; 500 detected genes were removed; cells with &gt; 10% mitochondrial gene expression were removed; genes detected in &lt; 3 cells were removed. Result: 15,057 cells x 22,308 genes (post-QC). Cell type annotation: 32 cell type entries with &gt;= 10 cells per group were retained for pseudobulk construction, spanning 6 organs (Liver, Kidney, Spleen, Lung, Heart, Bone Marrow).</w:t>
      </w:r>
    </w:p>
    <w:p>
      <w:r>
        <w:rPr>
          <w:rFonts w:ascii="Arial" w:hAnsi="Arial"/>
          <w:b/>
          <w:color w:val="000000"/>
          <w:sz w:val="22"/>
        </w:rPr>
        <w:t>4.2 Tabula Sapiens (Human)</w:t>
      </w:r>
    </w:p>
    <w:p>
      <w:r>
        <w:rPr>
          <w:rFonts w:ascii="Arial" w:hAnsi="Arial"/>
          <w:b w:val="0"/>
          <w:color w:val="000000"/>
          <w:sz w:val="22"/>
        </w:rPr>
        <w:t>Downloaded from CZ CELLxGENE Discover. QC filtering: cells with &lt; 200 detected genes were removed; cells with &gt; 20% mitochondrial gene expression were removed. Result: 108,136 cells retained (6 h5ad files total), with 51,852 genes (filtered from the original 58,870). Cell type entries: 99 entries across 6 organs (Liver, Kidney, Heart, Bone Marrow, Spleen, Lung). Cell types included in pairwise omega analysis were required to have &gt;= 10 cells in at least one donor. Pairwise identity gene selection (top-200 genes by |Delta expression| ranking) ensures that each comparison uses the most informative genes for that specific pair. Human HK genes: data-driven automatic detection (joint criteria), supplemented with 1,130 genes from HRT Atlas v1.0, mapped via gene symbol.</w:t>
      </w:r>
    </w:p>
    <w:p>
      <w:r>
        <w:rPr>
          <w:rFonts w:ascii="Arial" w:hAnsi="Arial"/>
          <w:b/>
          <w:color w:val="000000"/>
          <w:sz w:val="22"/>
        </w:rPr>
        <w:t>4.3 TCGA Bulk RNA-seq</w:t>
      </w:r>
    </w:p>
    <w:p>
      <w:r>
        <w:rPr>
          <w:rFonts w:ascii="Arial" w:hAnsi="Arial"/>
          <w:b w:val="0"/>
          <w:color w:val="000000"/>
          <w:sz w:val="22"/>
        </w:rPr>
        <w:t>Data were obtained from the NCI Genomic Data Commons. Five cancer types were selected: LUAD (495 tumor + 76 normal), LUSC (567 + 58), LIHC (365 + 57), KIRC (755 + 82), BRCA (1,032 + 109), totaling n = 3,596 samples. Normalization: TPM values from UCSC Xena, followed by log2(TPM + 0.001) transformation. For paired analysis, tumor-normal pairs were matched by patient barcode (TCGA-XX-XXXX format). Clinical metadata for stratified analyses were obtained from GDC (via the TCGAbiolinks R package) and the cBioPortal API.</w:t>
      </w:r>
    </w:p>
    <w:p>
      <w:r>
        <w:rPr>
          <w:rFonts w:ascii="Arial" w:hAnsi="Arial"/>
          <w:b/>
          <w:color w:val="000000"/>
          <w:sz w:val="22"/>
        </w:rPr>
        <w:t>4.4 Highly Variable Gene (HVG) Selection</w:t>
      </w:r>
    </w:p>
    <w:p>
      <w:r>
        <w:rPr>
          <w:rFonts w:ascii="Arial" w:hAnsi="Arial"/>
          <w:b w:val="0"/>
          <w:color w:val="000000"/>
          <w:sz w:val="22"/>
        </w:rPr>
        <w:t>Tabula Muris: Global HVG selection was performed using scanpy.pp.highly_variable_genes, with parameters flavor="seurat" and n_top_genes=2,000. The global HVG set was used for all pairwise comparisons in Phases 3.1-3.2. Tabula Sapiens: Pairwise HVG selection. For each cell type pair (CT_i, CT_j), the top-200 genes ranked by |mu_i - mu_j| (absolute log1p expression difference) were selected as identity genes, excluding HK genes. This avoids the dilution effect of HVG across comparisons involving 99 cell types. HVG count sensitivity: the parameter sweep (Phase 3.2) tested N_HVG in {50, 100, 200, 500, 1,000, 2,000}. The global scheme (mouse) achieved peak AUC at N=2,000, while the pairwise scheme (human) used N=200 to maintain discriminative power with computational efficiency.</w:t>
      </w:r>
    </w:p>
    <w:p>
      <w:r>
        <w:br w:type="page"/>
      </w:r>
    </w:p>
    <w:p>
      <w:pPr>
        <w:pStyle w:val="Heading2"/>
      </w:pPr>
      <w:r>
        <w:t>Supplementary Table 1: Parameter Sweep Results</w:t>
      </w:r>
    </w:p>
    <w:p>
      <w:r>
        <w:rPr>
          <w:rFonts w:ascii="Arial" w:hAnsi="Arial"/>
          <w:b w:val="0"/>
          <w:color w:val="000000"/>
          <w:sz w:val="22"/>
        </w:rPr>
        <w:t>Phase 3.2 parameter sweep on Tabula Muris mouse data (n = 703 cell type pairs, 6 organs). The pure identity gene configuration (w1 = 1.0, w2 = 0.0) achieved optimal cell type discrimination (AUC = 0.847). Data file: results/phase32_sweep_results.csv. Visualization: results/phase32_sweep_barplot.png.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2: Cross-Organ Conservation Data</w:t>
      </w:r>
    </w:p>
    <w:p>
      <w:r>
        <w:rPr>
          <w:rFonts w:ascii="Arial" w:hAnsi="Arial"/>
          <w:b w:val="0"/>
          <w:color w:val="000000"/>
          <w:sz w:val="22"/>
        </w:rPr>
        <w:t>Complete dataset of 59 same-cell-type cross-organ pairs in Tabula Sapiens, including omega, Jensen-Shannon divergence, Spearman distance, Cosine distance, and Marker Jaccard distance values. Data file: results/phase35_cross_organ_conservation.csv.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3: Human Brain Non-neuronal Cell Regional CKI Data</w:t>
      </w:r>
    </w:p>
    <w:p>
      <w:r>
        <w:rPr>
          <w:rFonts w:ascii="Arial" w:hAnsi="Arial"/>
          <w:b w:val="0"/>
          <w:color w:val="000000"/>
          <w:sz w:val="22"/>
        </w:rPr>
        <w:t>Complete results of CKI brain region analysis for non-neuronal cells from the Siletti et al. (2023) human brain atlas, comprising 31,764 pairwise cross-region comparisons across 10 cell types (n = 888,263 nuclei, 108 regions, 59,480 genes). Summary statistics for each cell type (omega mean, median, SD, range, k_n and k_f components) are provided in Supplementary Table 3. Raw data file: results/brain_siletti_omega_pairs_v3.csv (31,764 rows). Summary file: results/brain_siletti_ct_summary_v3.csv (10-row summary). Analysis script: notebooks/07c_brain_siletti_v3.py. Figure generation: notebooks/30_nar_figures_fixed_v2.py (Figure 6).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4: Inter-regional Cell Migration Candidate Data</w:t>
      </w:r>
    </w:p>
    <w:p>
      <w:r>
        <w:rPr>
          <w:rFonts w:ascii="Arial" w:hAnsi="Arial"/>
          <w:b w:val="0"/>
          <w:color w:val="000000"/>
          <w:sz w:val="22"/>
        </w:rPr>
        <w:t>Results of multiplicative model-based detection of potential inter-regional cell migration candidates. Of the 31,764 total pairwise cross-region comparisons, 7,842 pairs (24.7%) were classified as migration candidates (residual &lt; 0.75): 30 strong signals (residual &lt; 0.3, 0.09%), 1,247 moderate signals (residual &lt; 0.5, 3.93%), and 6,567 weak signals (residual &lt; 0.75, 20.67%). Top-5 strongest migration signals by cell type (ranked by residual): 1) Astrocyte Human VLN vs. Human VPL (omega = 2.51, residual = 0.202), 2) Oligodendrocyte Human A19 vs. Human Pul (omega = 3.71, residual = 0.237), 3) Oligodendrocyte Human A32 vs. Human Pul (omega = 4.68, residual = 0.240), 4) Microglia Human DTg vs. Human TF (omega = 3.36, residual = 0.246), 5) Oligodendrocyte Human MoRF-MoEN vs. Human PnRF (omega = 2.52, residual = 0.249). Complete candidate dataset: results/brain_siletti_migration_candidates_v3.csv (7,842 rows). Analysis script: notebooks/07c_brain_siletti_v3.py.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Data 1: Analysis Script Index</w:t>
      </w:r>
    </w:p>
    <w:p>
      <w:r>
        <w:rPr>
          <w:rFonts w:ascii="Arial" w:hAnsi="Arial"/>
          <w:b w:val="0"/>
          <w:color w:val="000000"/>
          <w:sz w:val="22"/>
        </w:rPr>
        <w:t>Complete analysis scripts used in this study are organized in the notebooks/ directory of the GitHub repository (github.com/zhanglknt/CKI-cell-type-identification). The package can be installed via: pip install git+https://github.com/zhanglknt/CKI-cell-type-identification.git. Key scripts include: notebooks/04_phase32_sweep.py (parameter sweep and calibration), notebooks/06_phase34_v2.py (TCGA pan-cancer analysis), notebooks/05_phase33_v3_fixed.py (Tabula Sapiens cross-organ analysis), notebooks/07c_brain_siletti_v3.py (brain regional CKI analysis and migration candidate detection), and notebooks/30_nar_figures_fixed_v2.py (figure generation).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  <w:lnNumType w:countBy="1" w:start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