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b/>
          <w:color w:val="000000"/>
          <w:sz w:val="32"/>
        </w:rPr>
        <w:t>CKI: a Ka/Ks-inspired index decomposing functional divergence from baseline variation in cell atlases</w:t>
      </w:r>
    </w:p>
    <w:p>
      <w:pPr>
        <w:jc w:val="center"/>
      </w:pPr>
      <w:r>
        <w:rPr>
          <w:rFonts w:ascii="Arial" w:hAnsi="Arial"/>
          <w:color w:val="000000"/>
          <w:sz w:val="28"/>
        </w:rPr>
        <w:t>Wenting Liu</w:t>
      </w:r>
      <w:r>
        <w:rPr>
          <w:rFonts w:ascii="Arial" w:hAnsi="Arial"/>
          <w:color w:val="000000"/>
          <w:sz w:val="22"/>
          <w:vertAlign w:val="superscript"/>
        </w:rPr>
        <w:t>1</w:t>
      </w:r>
      <w:r>
        <w:t xml:space="preserve">, </w:t>
      </w:r>
      <w:r>
        <w:rPr>
          <w:rFonts w:ascii="Arial" w:hAnsi="Arial"/>
          <w:color w:val="000000"/>
          <w:sz w:val="28"/>
        </w:rPr>
        <w:t>Jian Zu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2</w:t>
      </w:r>
      <w:r>
        <w:rPr>
          <w:rFonts w:ascii="Arial" w:hAnsi="Arial"/>
          <w:color w:val="000000"/>
          <w:sz w:val="22"/>
          <w:vertAlign w:val="superscript"/>
        </w:rPr>
        <w:t>,</w:t>
      </w:r>
      <w:r>
        <w:rPr>
          <w:rFonts w:ascii="Arial" w:hAnsi="Arial"/>
          <w:color w:val="000000"/>
          <w:sz w:val="22"/>
          <w:vertAlign w:val="superscript"/>
        </w:rPr>
        <w:t>3</w:t>
      </w:r>
      <w:r>
        <w:rPr>
          <w:rFonts w:ascii="Arial" w:hAnsi="Arial"/>
          <w:color w:val="000000"/>
          <w:sz w:val="22"/>
          <w:vertAlign w:val="superscript"/>
        </w:rPr>
        <w:t>,</w:t>
      </w:r>
      <w:r>
        <w:rPr>
          <w:rFonts w:ascii="Arial" w:hAnsi="Arial"/>
          <w:color w:val="000000"/>
          <w:sz w:val="22"/>
          <w:vertAlign w:val="superscript"/>
        </w:rPr>
        <w:t>4</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School of Mathematics and Statistics, Xi'an Jiaotong University, Xi'an 710049, China</w:t>
      </w:r>
    </w:p>
    <w:p>
      <w:pPr>
        <w:jc w:val="center"/>
      </w:pPr>
      <w:r>
        <w:rPr>
          <w:rFonts w:ascii="Arial" w:hAnsi="Arial"/>
          <w:color w:val="000000"/>
          <w:sz w:val="20"/>
          <w:vertAlign w:val="superscript"/>
        </w:rPr>
        <w:t>2</w:t>
      </w:r>
      <w:r>
        <w:rPr>
          <w:rFonts w:ascii="Arial" w:hAnsi="Arial"/>
          <w:color w:val="000000"/>
          <w:sz w:val="20"/>
        </w:rPr>
        <w:t>Chinese Institute for Brain Research, Beijing 102206, China</w:t>
      </w:r>
    </w:p>
    <w:p>
      <w:pPr>
        <w:jc w:val="center"/>
      </w:pPr>
      <w:r>
        <w:rPr>
          <w:rFonts w:ascii="Arial" w:hAnsi="Arial"/>
          <w:color w:val="000000"/>
          <w:sz w:val="20"/>
          <w:vertAlign w:val="superscript"/>
        </w:rPr>
        <w:t>3</w:t>
      </w:r>
      <w:r>
        <w:rPr>
          <w:rFonts w:ascii="Arial" w:hAnsi="Arial"/>
          <w:color w:val="000000"/>
          <w:sz w:val="20"/>
        </w:rPr>
        <w:t>Institute of Blood Transfusion, Chinese Academy of Medical Sciences &amp; Peking Union Medical College, Chengdu 610052, China</w:t>
      </w:r>
    </w:p>
    <w:p>
      <w:pPr>
        <w:jc w:val="center"/>
      </w:pPr>
      <w:r>
        <w:rPr>
          <w:rFonts w:ascii="Arial" w:hAnsi="Arial"/>
          <w:color w:val="000000"/>
          <w:sz w:val="20"/>
          <w:vertAlign w:val="superscript"/>
        </w:rPr>
        <w:t>4</w:t>
      </w:r>
      <w:r>
        <w:rPr>
          <w:rFonts w:ascii="Arial" w:hAnsi="Arial"/>
          <w:color w:val="000000"/>
          <w:sz w:val="20"/>
        </w:rPr>
        <w:t>Translational Medical Center, Weifang Second People's Hospital, Weifang 261041,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Li Zhang 0000-0002-0698-0754</w:t>
      </w:r>
    </w:p>
    <w:p>
      <w:pPr>
        <w:pStyle w:val="Heading1"/>
        <w:spacing w:before="420" w:after="160"/>
      </w:pPr>
      <w:r>
        <w:rPr>
          <w:rFonts w:ascii="Arial" w:hAnsi="Arial"/>
          <w:color w:val="000000"/>
          <w:sz w:val="28"/>
          <w:b/>
        </w:rPr>
        <w:t>Abstract</w:t>
      </w:r>
    </w:p>
    <w:p>
      <w:pPr>
        <w:spacing w:line="276" w:lineRule="auto" w:after="80"/>
        <w:ind w:firstLine="0"/>
      </w:pPr>
      <w:r>
        <w:rPr>
          <w:rFonts w:ascii="Arial" w:hAnsi="Arial"/>
          <w:b w:val="0"/>
          <w:i w:val="0"/>
          <w:color w:val="000000"/>
          <w:sz w:val="22"/>
        </w:rPr>
        <w:t>Detecting cell-state changes is a central task in single-cell analysis, yet standard distance metrics treat all gene-expression differences equally and cannot distinguish genuine state shifts from technical or physiological drift. Inspired by Ka/Ks, we introduce CKI (Cell-type Ka/Ks-inspired Index), which contrasts two self-normalized reference rates—a functional rate (k_f, estimated from cell-type identity genes) and a baseline rate (k_n, housekeeping genes)—and reports their ratio ω = k_f/k_n as baseline-normalized functional divergence. In ground-truth simulations, ω achieved the best discrimination of injected functional signal against neutral housekeeping drift among six metrics (AUC = 0.80). On real technical replicates, ω showed the lowest false-report rate among continuous divergence metrics. Across 3,535 TCGA samples from five cancer types, CKI revealed a consistent pan-cancer pattern—tumors appear less divergent than adjacent non-tumor tissue—driven by an elevated housekeeping baseline rather than reduced functional divergence. In a human brain atlas (non-neuronal nuclei), CKI quantified a regional differentiation gradient, largely k_n-driven, and provided a statistically calibrated framework for atlas-scale hypothesis generation; extending to neuronal superclasses, regional divergence far exceeds the non-neuronal median, with two of three superclasses above their block-shuffle nulls. CKI is available as an open-source Python package.</w:t>
      </w:r>
    </w:p>
    <w:p>
      <w:pPr>
        <w:pStyle w:val="Heading1"/>
        <w:spacing w:before="420" w:after="160"/>
      </w:pPr>
      <w:r>
        <w:rPr>
          <w:rFonts w:ascii="Arial" w:hAnsi="Arial"/>
          <w:color w:val="000000"/>
          <w:sz w:val="28"/>
          <w:b/>
        </w:rPr>
        <w:t>Introduction</w:t>
      </w:r>
    </w:p>
    <w:p>
      <w:pPr>
        <w:spacing w:line="276" w:lineRule="auto" w:after="80"/>
        <w:ind w:firstLine="0"/>
      </w:pPr>
      <w:r>
        <w:rPr>
          <w:rFonts w:ascii="Arial" w:hAnsi="Arial"/>
          <w:b w:val="0"/>
          <w:i w:val="0"/>
          <w:color w:val="000000"/>
          <w:sz w:val="22"/>
        </w:rPr>
        <w:t>Detecting cell-state changes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pPr>
        <w:spacing w:line="276" w:lineRule="auto" w:after="80"/>
        <w:ind w:firstLine="0"/>
      </w:pPr>
      <w:r>
        <w:rPr>
          <w:rFonts w:ascii="Arial" w:hAnsi="Arial"/>
          <w:b w:val="0"/>
          <w:i w:val="0"/>
          <w:color w:val="000000"/>
          <w:sz w:val="22"/>
        </w:rPr>
        <w:t xml:space="preserve">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w:t>
      </w:r>
      <w:r>
        <w:rPr>
          <w:rFonts w:ascii="Arial" w:hAnsi="Arial"/>
          <w:b w:val="0"/>
          <w:i w:val="0"/>
          <w:color w:val="000000"/>
          <w:sz w:val="22"/>
          <w:vertAlign w:val="superscript"/>
        </w:rPr>
        <w:t>1</w:t>
      </w:r>
      <w:r>
        <w:rPr>
          <w:rFonts w:ascii="Arial" w:hAnsi="Arial"/>
          <w:b w:val="0"/>
          <w:i w:val="0"/>
          <w:color w:val="000000"/>
          <w:sz w:val="22"/>
        </w:rPr>
        <w:t xml:space="preserve">, where donor- and batch-level variation often dominates over cell-type identity. Methods such as Harmony </w:t>
      </w:r>
      <w:r>
        <w:rPr>
          <w:rFonts w:ascii="Arial" w:hAnsi="Arial"/>
          <w:b w:val="0"/>
          <w:i w:val="0"/>
          <w:color w:val="000000"/>
          <w:sz w:val="22"/>
          <w:vertAlign w:val="superscript"/>
        </w:rPr>
        <w:t>2</w:t>
      </w:r>
      <w:r>
        <w:rPr>
          <w:rFonts w:ascii="Arial" w:hAnsi="Arial"/>
          <w:b w:val="0"/>
          <w:i w:val="0"/>
          <w:color w:val="000000"/>
          <w:sz w:val="22"/>
        </w:rPr>
        <w:t xml:space="preserve">, scVI </w:t>
      </w:r>
      <w:r>
        <w:rPr>
          <w:rFonts w:ascii="Arial" w:hAnsi="Arial"/>
          <w:b w:val="0"/>
          <w:i w:val="0"/>
          <w:color w:val="000000"/>
          <w:sz w:val="22"/>
          <w:vertAlign w:val="superscript"/>
        </w:rPr>
        <w:t>3</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remove such nuisance variation </w:t>
      </w:r>
      <w:r>
        <w:rPr>
          <w:rFonts w:ascii="Arial" w:hAnsi="Arial"/>
          <w:b w:val="0"/>
          <w:i w:val="0"/>
          <w:color w:val="000000"/>
          <w:sz w:val="22"/>
          <w:vertAlign w:val="superscript"/>
        </w:rPr>
        <w:t>5</w:t>
      </w:r>
      <w:r>
        <w:rPr>
          <w:rFonts w:ascii="Arial" w:hAnsi="Arial"/>
          <w:b w:val="0"/>
          <w:i w:val="0"/>
          <w:color w:val="000000"/>
          <w:sz w:val="22"/>
        </w:rPr>
        <w:t>, but a key question remains: how much of the difference between two populations reflects functional change rather than neutral drift?</w:t>
      </w:r>
    </w:p>
    <w:p>
      <w:pPr>
        <w:spacing w:line="276" w:lineRule="auto" w:after="80"/>
        <w:ind w:firstLine="0"/>
      </w:pPr>
      <w:r>
        <w:rPr>
          <w:rFonts w:ascii="Arial" w:hAnsi="Arial"/>
          <w:b w:val="0"/>
          <w:i w:val="0"/>
          <w:color w:val="000000"/>
          <w:sz w:val="22"/>
        </w:rPr>
        <w:t xml:space="preserve">This question mirrors one addressed in molecular evolution. The Ka/Ks ratio (dN/dS) distinguishes nonsynonymous changes (Ka, which alter the protein) from synonymous changes (Ks, largely silent) </w:t>
      </w:r>
      <w:r>
        <w:rPr>
          <w:rFonts w:ascii="Arial" w:hAnsi="Arial"/>
          <w:b w:val="0"/>
          <w:i w:val="0"/>
          <w:color w:val="000000"/>
          <w:sz w:val="22"/>
          <w:vertAlign w:val="superscript"/>
        </w:rPr>
        <w:t>6,7</w:t>
      </w:r>
      <w:r>
        <w:rPr>
          <w:rFonts w:ascii="Arial" w:hAnsi="Arial"/>
          <w:b w:val="0"/>
          <w:i w:val="0"/>
          <w:color w:val="000000"/>
          <w:sz w:val="22"/>
        </w:rPr>
        <w:t>, using synonymous sites as an internal baseline so that the ratio reveals selection. We adopt the same heuristic logic for transcriptomic comparisons.</w:t>
      </w:r>
    </w:p>
    <w:p>
      <w:pPr>
        <w:spacing w:line="276" w:lineRule="auto" w:after="80"/>
        <w:ind w:firstLine="0"/>
      </w:pPr>
      <w:r>
        <w:rPr>
          <w:rFonts w:ascii="Arial" w:hAnsi="Arial"/>
          <w:b w:val="0"/>
          <w:i w:val="0"/>
          <w:color w:val="000000"/>
          <w:sz w:val="22"/>
        </w:rPr>
        <w:t>We define a functional divergence rate k_f from cell-type identity genes, a baseline divergence rate k_n from housekeeping (HK) genes, and report their ratio ω = k_f/k_n as baseline-normalized functional divergence (Fig. 1). The Ka/Ks analogy is heuristic—housekeeping genes are empirically defined, not mechanistically neutral—but the core idea transfers: an internal baseline normalizes away shared variation (Supplementary Note 1.4), leaving the ratio to reflect functional divergence.</w:t>
      </w:r>
    </w:p>
    <w:p>
      <w:pPr>
        <w:spacing w:line="276" w:lineRule="auto" w:after="80"/>
        <w:ind w:firstLine="0"/>
      </w:pPr>
      <w:r>
        <w:rPr>
          <w:rFonts w:ascii="Arial" w:hAnsi="Arial"/>
          <w:b w:val="0"/>
          <w:i w:val="0"/>
          <w:color w:val="000000"/>
          <w:sz w:val="22"/>
        </w:rPr>
        <w:t>The scope of ω is bounded by one central assumption, quantified empirically throughout: the HK anchor is valid only where housekeeping expression remains constrained. Functional signal on HK genes is invisible to ω by construction, and in disease or strong-perturbation contexts the anchor itself shifts (TCGA and IFN-β below; Supplementary Note 1), so ω must be read alongside its components k_f and k_n (Results; Discussion).</w:t>
      </w:r>
    </w:p>
    <w:p>
      <w:pPr>
        <w:spacing w:line="276" w:lineRule="auto" w:after="80"/>
        <w:ind w:firstLine="0"/>
      </w:pPr>
      <w:r>
        <w:rPr>
          <w:rFonts w:ascii="Arial" w:hAnsi="Arial"/>
          <w:b w:val="0"/>
          <w:i w:val="0"/>
          <w:color w:val="000000"/>
          <w:sz w:val="22"/>
        </w:rPr>
        <w:t xml:space="preserve">Here, we show that CKI provides a baseline-normalized index of cell-state divergence. First, in random splits of the same mouse cell population (Tabula Muris </w:t>
      </w:r>
      <w:r>
        <w:rPr>
          <w:rFonts w:ascii="Arial" w:hAnsi="Arial"/>
          <w:b w:val="0"/>
          <w:i w:val="0"/>
          <w:color w:val="000000"/>
          <w:sz w:val="22"/>
          <w:vertAlign w:val="superscript"/>
        </w:rPr>
        <w:t>8</w:t>
      </w:r>
      <w:r>
        <w:rPr>
          <w:rFonts w:ascii="Arial" w:hAnsi="Arial"/>
          <w:b w:val="0"/>
          <w:i w:val="0"/>
          <w:color w:val="000000"/>
          <w:sz w:val="22"/>
        </w:rPr>
        <w:t xml:space="preserve">), ω yields a baseline above 1: raw ω values must be calibrated against this empirical baseline rather than a nominal threshold. Second, in Tabula Sapiens human data </w:t>
      </w:r>
      <w:r>
        <w:rPr>
          <w:rFonts w:ascii="Arial" w:hAnsi="Arial"/>
          <w:b w:val="0"/>
          <w:i w:val="0"/>
          <w:color w:val="000000"/>
          <w:sz w:val="22"/>
          <w:vertAlign w:val="superscript"/>
        </w:rPr>
        <w:t>9</w:t>
      </w:r>
      <w:r>
        <w:rPr>
          <w:rFonts w:ascii="Arial" w:hAnsi="Arial"/>
          <w:b w:val="0"/>
          <w:i w:val="0"/>
          <w:color w:val="000000"/>
          <w:sz w:val="22"/>
        </w:rPr>
        <w:t xml:space="preserve">, ω is negatively correlated with all four standard distance metrics. Third, on real technical replicates (30 cross-lane PBMC pairs; 2,161 brain library pairs), ω shows the lowest drift misreporting among continuous metrics while retaining biological sensitivity. Fourth, on TCGA data </w:t>
      </w:r>
      <w:r>
        <w:rPr>
          <w:rFonts w:ascii="Arial" w:hAnsi="Arial"/>
          <w:b w:val="0"/>
          <w:i w:val="0"/>
          <w:color w:val="000000"/>
          <w:sz w:val="22"/>
          <w:vertAlign w:val="superscript"/>
        </w:rPr>
        <w:t>10,11</w:t>
      </w:r>
      <w:r>
        <w:rPr>
          <w:rFonts w:ascii="Arial" w:hAnsi="Arial"/>
          <w:b w:val="0"/>
          <w:i w:val="0"/>
          <w:color w:val="000000"/>
          <w:sz w:val="22"/>
        </w:rPr>
        <w:t xml:space="preserve"> (five cancer types, 3,535 samples excluding cell-line-derived aliquots), CKI uncovers a consistent pan-cancer reversal—tumors less divergent than adjacent non-tumor tissue, attributable to an elevated housekeeping baseline that GTEx references tentatively support as largely tumor-specific—and stratifies lung-adenocarcinoma driver classes with the KRAS contrast retained after purity and smoking adjustment under whole-tumor permutation. Finally, in a human brain atlas </w:t>
      </w:r>
      <w:r>
        <w:rPr>
          <w:rFonts w:ascii="Arial" w:hAnsi="Arial"/>
          <w:b w:val="0"/>
          <w:i w:val="0"/>
          <w:color w:val="000000"/>
          <w:sz w:val="22"/>
          <w:vertAlign w:val="superscript"/>
        </w:rPr>
        <w:t>12</w:t>
      </w:r>
      <w:r>
        <w:rPr>
          <w:rFonts w:ascii="Arial" w:hAnsi="Arial"/>
          <w:b w:val="0"/>
          <w:i w:val="0"/>
          <w:color w:val="000000"/>
          <w:sz w:val="22"/>
        </w:rPr>
        <w:t>, we quantify a regional differentiation gradient extending into neuronal superclasses and profile cell-type/region pairs for hypothesis generation.</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each a pseudobulk expression vector (mean expression across cells), and applies the same metric (Jensen–Shannon divergence) in three steps on the same matrix, so the ratio is internally calibrated (Fig. 1).</w:t>
      </w:r>
    </w:p>
    <w:p>
      <w:pPr>
        <w:spacing w:line="276" w:lineRule="auto" w:after="80"/>
        <w:ind w:firstLine="0"/>
      </w:pPr>
      <w:r>
        <w:rPr>
          <w:rFonts w:ascii="Arial" w:hAnsi="Arial"/>
          <w:b w:val="0"/>
          <w:i w:val="0"/>
          <w:color w:val="000000"/>
          <w:sz w:val="22"/>
        </w:rPr>
        <w:t xml:space="preserve">Step 1, baseline divergence rate k_n: pseudobulk vectors restricted to housekeeping (HK) gene indices, +1 pseudo-count, L1 normalization; k_n is the JS divergence between the two HK-gene probability distributions. Because HK genes should not differ systematically between biologically equivalent populations </w:t>
      </w:r>
      <w:r>
        <w:rPr>
          <w:rFonts w:ascii="Arial" w:hAnsi="Arial"/>
          <w:b w:val="0"/>
          <w:i w:val="0"/>
          <w:color w:val="000000"/>
          <w:sz w:val="22"/>
          <w:vertAlign w:val="superscript"/>
        </w:rPr>
        <w:t>13</w:t>
      </w:r>
      <w:r>
        <w:rPr>
          <w:rFonts w:ascii="Arial" w:hAnsi="Arial"/>
          <w:b w:val="0"/>
          <w:i w:val="0"/>
          <w:color w:val="000000"/>
          <w:sz w:val="22"/>
        </w:rPr>
        <w:t>, k_n captures baseline technical and physiological noise.</w:t>
      </w:r>
    </w:p>
    <w:p>
      <w:pPr>
        <w:spacing w:line="276" w:lineRule="auto" w:after="80"/>
        <w:ind w:firstLine="0"/>
      </w:pPr>
      <w:r>
        <w:rPr>
          <w:rFonts w:ascii="Arial" w:hAnsi="Arial"/>
          <w:b w:val="0"/>
          <w:i w:val="0"/>
          <w:color w:val="000000"/>
          <w:sz w:val="22"/>
        </w:rPr>
        <w:t>Step 2: functional divergence rate k_f on cell-type identity genes: top-2,000 highly variable genes (HVGs; Seurat, HK excluded) for the Tabula Muris full pairwise matrix (Supplementary Fig. 1), and the pair’s top-200 differentially expressed genes (absolute mean difference, HK excluded) for all other analyses, with k_n computed per pair on the shared HK set (fixed-panel ablation, Results).</w:t>
      </w:r>
    </w:p>
    <w:p>
      <w:pPr>
        <w:spacing w:line="276" w:lineRule="auto" w:after="80"/>
        <w:ind w:firstLine="0"/>
      </w:pPr>
      <w:r>
        <w:rPr>
          <w:rFonts w:ascii="Arial" w:hAnsi="Arial"/>
          <w:b w:val="0"/>
          <w:i w:val="0"/>
          <w:color w:val="000000"/>
          <w:sz w:val="22"/>
        </w:rPr>
        <w:t>Step 3: ω = k_f/k_n. Statistical inference uses permutation testing (B = 1,000 for all datasets): group labels are permuted (cell labels for mouse and human, sample labels for TCGA) or, for the brain, library-to-region assignments block-shuffled; empirical P-values, standardized effect sizes, and Benjamini-Hochberg FDR are computed within each dataset (Methods).</w:t>
      </w:r>
    </w:p>
    <w:p>
      <w:pPr>
        <w:spacing w:line="276" w:lineRule="auto" w:after="80"/>
        <w:ind w:firstLine="0"/>
      </w:pPr>
      <w:r>
        <w:rPr>
          <w:rFonts w:ascii="Arial" w:hAnsi="Arial"/>
          <w:b w:val="0"/>
          <w:i w:val="0"/>
          <w:color w:val="000000"/>
          <w:sz w:val="22"/>
        </w:rPr>
        <w:t>Adding pathway enrichment scores to k_f does not improve discrimination (Tabula Muris; identity-only AUC = 0.786; Supplementary Table 1).</w:t>
      </w:r>
    </w:p>
    <w:p>
      <w:pPr>
        <w:spacing w:line="276" w:lineRule="auto" w:after="80"/>
        <w:ind w:firstLine="0"/>
      </w:pPr>
      <w:r>
        <w:rPr>
          <w:rFonts w:ascii="Arial" w:hAnsi="Arial"/>
          <w:b w:val="0"/>
          <w:i w:val="0"/>
          <w:color w:val="000000"/>
          <w:sz w:val="22"/>
        </w:rPr>
        <w:t>A scoped framework formalizes the decomposition (Supplementary Note 20): under a factor model for log-expression, global scale cancels exactly (Lemma 1), and a second-order expansion of JS divergence with explicit remainder (Lemma 2) gives ω = α + E_f/E_b + ε, with E_f and E_b the functional and background displacement energies and α the selection constant estimated by the split-half baseline (Proposition 3). ω thus reads as functional signal relative to the pair’s own background, increases monotonically with functional change where the expansion holds (Proposition 4; ground-truth ρ = 0.688), and carries second-order-small calibration bias (Proposition 5, &lt; 0.8%); the expansion is quantitative at the k_n scale and approximate at the k_f scale (Supplementary Fig. 2).</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 xml:space="preserve">We calibrated CKI on the Tabula Muris FACS dataset </w:t>
      </w:r>
      <w:r>
        <w:rPr>
          <w:rFonts w:ascii="Arial" w:hAnsi="Arial"/>
          <w:b w:val="0"/>
          <w:i w:val="0"/>
          <w:color w:val="000000"/>
          <w:sz w:val="22"/>
          <w:vertAlign w:val="superscript"/>
        </w:rPr>
        <w:t>8</w:t>
      </w:r>
      <w:r>
        <w:rPr>
          <w:rFonts w:ascii="Arial" w:hAnsi="Arial"/>
          <w:b w:val="0"/>
          <w:i w:val="0"/>
          <w:color w:val="000000"/>
          <w:sz w:val="22"/>
        </w:rPr>
        <w:t xml:space="preserve"> (SmartSeq2, 15,057 cells, 22,308 genes, 6 organs), with housekeeping genes from HRT Atlas v1.0 </w:t>
      </w:r>
      <w:r>
        <w:rPr>
          <w:rFonts w:ascii="Arial" w:hAnsi="Arial"/>
          <w:b w:val="0"/>
          <w:i w:val="0"/>
          <w:color w:val="000000"/>
          <w:sz w:val="22"/>
          <w:vertAlign w:val="superscript"/>
        </w:rPr>
        <w:t>13</w:t>
      </w:r>
      <w:r>
        <w:rPr>
          <w:rFonts w:ascii="Arial" w:hAnsi="Arial"/>
          <w:b w:val="0"/>
          <w:i w:val="0"/>
          <w:color w:val="000000"/>
          <w:sz w:val="22"/>
        </w:rPr>
        <w:t xml:space="preserve"> (mouse column): top-2,000 HVGs for the full pairwise matrix (703 pairs, Supplementary Fig. 1), and the hybrid per-pair scheme for the pilot (Fig. 2).</w:t>
      </w:r>
    </w:p>
    <w:p>
      <w:pPr>
        <w:spacing w:line="276" w:lineRule="auto" w:after="80"/>
        <w:ind w:firstLine="0"/>
      </w:pPr>
      <w:r>
        <w:rPr>
          <w:rFonts w:ascii="Arial" w:hAnsi="Arial"/>
          <w:b w:val="0"/>
          <w:i w:val="0"/>
          <w:color w:val="000000"/>
          <w:sz w:val="22"/>
        </w:rPr>
        <w:t>Control comparisons randomly split the same population into halves across six FACS control populations (Fig. 2a): 50 split-half replicates per population (300 ω values) stabilized the baseline at mean ω = 7.70 (two-stage bootstrap 95% CI [6.38, 9.82], slightly anti-conservative at six populations; leave-one-population-out range 6.75–8.08; Section 3.10). No control comparison reached significance (all P &gt; 0.05): biologically equivalent populations are recognized as undiverged.</w:t>
      </w:r>
    </w:p>
    <w:p>
      <w:pPr>
        <w:spacing w:line="276" w:lineRule="auto" w:after="80"/>
        <w:ind w:firstLine="0"/>
      </w:pPr>
      <w:r>
        <w:rPr>
          <w:rFonts w:ascii="Arial" w:hAnsi="Arial"/>
          <w:b w:val="0"/>
          <w:i w:val="0"/>
          <w:color w:val="000000"/>
          <w:sz w:val="22"/>
        </w:rPr>
        <w:t>Beyond controls, ω increased monotonically with biological distance (Fig. 2b): same cell type across organs (mean ω = 21.31, n = 4) sat below different cell types within an organ (mean ω = 43.19, n = 3), with cross-organ cross-type comparisons highest (2–4 pairs per category). k_f drives this: from controls to inter-cell-type comparisons, k_f rose ~400-fold (0.0015 → 0.63–0.68) while k_n rose only 72–118-fold—CKI measures functional divergence, not total difference.</w:t>
      </w:r>
    </w:p>
    <w:p>
      <w:pPr>
        <w:spacing w:line="276" w:lineRule="auto" w:after="80"/>
        <w:ind w:firstLine="0"/>
      </w:pPr>
      <w:r>
        <w:rPr>
          <w:rFonts w:ascii="Arial" w:hAnsi="Arial"/>
          <w:b w:val="0"/>
          <w:i w:val="0"/>
          <w:color w:val="000000"/>
          <w:sz w:val="22"/>
        </w:rPr>
        <w:t>Because the empirical baseline deviates from the theoretical ideal (ω = 1), we introduce ω_cal = ω_obs / 7.70 (one-significant-digit resolution). The factor is dataset-relative (brain atlas 9.73; Tabula Sapiens 7.67, indicative only; Supplementary Fig. 3); class-specific baselines leave the astrocyte-to-Bergmann-glia gradient essentially unchanged, and a ratio-estimator audit confirms the calibration absorbs ratio bias (Supplementary Notes 2–4).</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 xml:space="preserve">We extended CKI to the Tabula Sapiens human atlas </w:t>
      </w:r>
      <w:r>
        <w:rPr>
          <w:rFonts w:ascii="Arial" w:hAnsi="Arial"/>
          <w:b w:val="0"/>
          <w:i w:val="0"/>
          <w:color w:val="000000"/>
          <w:sz w:val="22"/>
          <w:vertAlign w:val="superscript"/>
        </w:rPr>
        <w:t>9</w:t>
      </w:r>
      <w:r>
        <w:rPr>
          <w:rFonts w:ascii="Arial" w:hAnsi="Arial"/>
          <w:b w:val="0"/>
          <w:i w:val="0"/>
          <w:color w:val="000000"/>
          <w:sz w:val="22"/>
        </w:rPr>
        <w:t xml:space="preserve"> (108,136 cells; 99 filtered cell-type entries, 4,851 pairs across six organs (largest-donor pseudobulks; Methods)), using the same hybrid scheme with HRT Atlas v1.0 HK genes </w:t>
      </w:r>
      <w:r>
        <w:rPr>
          <w:rFonts w:ascii="Arial" w:hAnsi="Arial"/>
          <w:b w:val="0"/>
          <w:i w:val="0"/>
          <w:color w:val="000000"/>
          <w:sz w:val="22"/>
          <w:vertAlign w:val="superscript"/>
        </w:rPr>
        <w:t>13</w:t>
      </w:r>
      <w:r>
        <w:rPr>
          <w:rFonts w:ascii="Arial" w:hAnsi="Arial"/>
          <w:b w:val="0"/>
          <w:i w:val="0"/>
          <w:color w:val="000000"/>
          <w:sz w:val="22"/>
        </w:rPr>
        <w:t xml:space="preserve"> (human column) (Fig. 2c). Human ω ranged from 1.35 to 87.69. The biological hierarchy was preserved: same cell type across organs (mean ω = 15.83, n = 59) sat below different cell types within an organ (mean ω = 24.87, n = 1,038).</w:t>
      </w:r>
    </w:p>
    <w:p>
      <w:pPr>
        <w:spacing w:line="276" w:lineRule="auto" w:after="80"/>
        <w:ind w:firstLine="0"/>
      </w:pPr>
      <w:r>
        <w:rPr>
          <w:rFonts w:ascii="Arial" w:hAnsi="Arial"/>
          <w:b w:val="0"/>
          <w:i w:val="0"/>
          <w:color w:val="000000"/>
          <w:sz w:val="22"/>
        </w:rPr>
        <w:t>On all 4,851 human pairs, ω correlated negatively with all four standard metrics (raw JS, Spearman, cosine, marker Jaccard; Spearman r = −0.36 to −0.46; entry-clustered bootstrap 95% CIs excluding 0; Supplementary Methods 5.5). The negative sign is partly a ratio artifact: k_f correlated positively with the standard metrics (r = +0.43 to +0.72) and k_n more strongly (r = +0.69 to +0.81), and conditional on k_n all four turned positive (partial r = +0.11 to +0.54, entry-clustered CIs excluding 0).</w:t>
      </w:r>
    </w:p>
    <w:p>
      <w:pPr>
        <w:spacing w:line="276" w:lineRule="auto" w:after="80"/>
        <w:ind w:firstLine="0"/>
      </w:pPr>
      <w:r>
        <w:rPr>
          <w:rFonts w:ascii="Arial" w:hAnsi="Arial"/>
          <w:b w:val="0"/>
          <w:i w:val="0"/>
          <w:color w:val="000000"/>
          <w:sz w:val="22"/>
        </w:rPr>
        <w:t>CKI was the only metric scoring same-organ different-cell-type pairs above different-organ different-cell-type pairs (Mann-Whitney P = 5.6 × 10⁻¹⁸, descriptive); all four standard metrics showed the opposite pattern. Decomposition tempers the functional reading: same-organ pairs have indistinguishable k_f (P = 0.60) but lower k_n (P = 3.0 × 10⁻¹⁶)—a more stable within-organ housekeeping baseline, not greater functional specialization (Supplementary Note 5).</w:t>
      </w:r>
    </w:p>
    <w:p>
      <w:pPr>
        <w:pStyle w:val="Heading2"/>
        <w:spacing w:before="420" w:after="160"/>
      </w:pPr>
      <w:r>
        <w:rPr>
          <w:rFonts w:ascii="Arial" w:hAnsi="Arial"/>
          <w:color w:val="000000"/>
          <w:sz w:val="24"/>
          <w:b/>
        </w:rPr>
        <w:t>Ground-truth simulation: specificity versus sensitivity</w:t>
      </w:r>
    </w:p>
    <w:p>
      <w:pPr>
        <w:spacing w:line="276" w:lineRule="auto" w:after="80"/>
        <w:ind w:firstLine="0"/>
      </w:pPr>
      <w:r>
        <w:rPr>
          <w:rFonts w:ascii="Arial" w:hAnsi="Arial"/>
          <w:b w:val="0"/>
          <w:i w:val="0"/>
          <w:color w:val="000000"/>
          <w:sz w:val="22"/>
        </w:rPr>
        <w:t>No real dataset provides pairs with known functional divergence, so we injected perturbations into a real background (Tabula Muris FACS marrow B cells; Methods). Under pure neutral housekeeping drift, raw JS and cosine exceeded their null thresholds in 55% and 58% of replicates, ω in none (Supplementary Note 1); an injected functional module was detected only when strong (0 of 150 replicates at δ = 1, 13% at δ = 2). ω is structurally blind to modules on HK genes (k_n fired at 0.61–1.00), yet under expression-matched low-variance non-HK drift ω stayed calibrated (0.000–0.067) while raw JS and cosine inflated to 0.81–1.00 (Supplementary Notes 1, 6).</w:t>
      </w:r>
    </w:p>
    <w:p>
      <w:pPr>
        <w:spacing w:line="276" w:lineRule="auto" w:after="80"/>
        <w:ind w:firstLine="0"/>
      </w:pPr>
      <w:r>
        <w:rPr>
          <w:rFonts w:ascii="Arial" w:hAnsi="Arial"/>
          <w:b w:val="0"/>
          <w:i w:val="0"/>
          <w:color w:val="000000"/>
          <w:sz w:val="22"/>
        </w:rPr>
        <w:t>ω best discriminated functional (δ ≥ 0.25) from neutral perturbations (Fig. 2d; AUC = 0.80 versus 0.72 k_f, 0.64 raw JS, 0.58 cosine, 0.21 k_n, paired DeLong P = 2.4 × 10⁻¹⁷ versus k_f; DeLong 95% CI [0.770, 0.838]; Supplementary Table 2a): the standard metrics’ apparent power is purchased with false positives on neutral drift. Rank discrimination and thresholded power diverge (marrow: AUC 0.85 at δ = 1 despite 0/150 detections; Supplementary Note 1). The ratio also conferred robustness to technical asymmetry (Supplementary Note 1).</w:t>
      </w:r>
    </w:p>
    <w:p>
      <w:pPr>
        <w:spacing w:line="276" w:lineRule="auto" w:after="80"/>
        <w:ind w:firstLine="0"/>
      </w:pPr>
      <w:r>
        <w:rPr>
          <w:rFonts w:ascii="Arial" w:hAnsi="Arial"/>
          <w:b w:val="0"/>
          <w:i w:val="0"/>
          <w:color w:val="000000"/>
          <w:sz w:val="22"/>
        </w:rPr>
        <w:t>The advantage reproduced in a second background (skin keratinocyte stem cells; AUC(ω) = 0.908 versus AUC(k_f) = 0.859; Fig. 2d; Supplementary Note 1).</w:t>
      </w:r>
    </w:p>
    <w:p>
      <w:pPr>
        <w:pStyle w:val="Heading2"/>
        <w:spacing w:before="420" w:after="160"/>
      </w:pPr>
      <w:r>
        <w:rPr>
          <w:rFonts w:ascii="Arial" w:hAnsi="Arial"/>
          <w:color w:val="000000"/>
          <w:sz w:val="24"/>
          <w:b/>
        </w:rPr>
        <w:t>Real-data neutral-drift calibration on technical replicates</w:t>
      </w:r>
    </w:p>
    <w:p>
      <w:pPr>
        <w:spacing w:line="276" w:lineRule="auto" w:after="80"/>
        <w:ind w:firstLine="0"/>
      </w:pPr>
      <w:r>
        <w:rPr>
          <w:rFonts w:ascii="Arial" w:hAnsi="Arial"/>
          <w:b w:val="0"/>
          <w:i w:val="0"/>
          <w:color w:val="000000"/>
          <w:sz w:val="22"/>
        </w:rPr>
        <w:t xml:space="preserve">On real technical replicates (per-pair size-matched cell-shuffle nulls, B = 200; Methods), the 30 same-donor, same-condition cross-lane pairs of the IFN-β PBMC dataset </w:t>
      </w:r>
      <w:r>
        <w:rPr>
          <w:rFonts w:ascii="Arial" w:hAnsi="Arial"/>
          <w:b w:val="0"/>
          <w:i w:val="0"/>
          <w:color w:val="000000"/>
          <w:sz w:val="22"/>
          <w:vertAlign w:val="superscript"/>
        </w:rPr>
        <w:t>14</w:t>
      </w:r>
      <w:r>
        <w:rPr>
          <w:rFonts w:ascii="Arial" w:hAnsi="Arial"/>
          <w:b w:val="0"/>
          <w:i w:val="0"/>
          <w:color w:val="000000"/>
          <w:sz w:val="22"/>
        </w:rPr>
        <w:t xml:space="preserve"> are clean: ω was fully calibrated (0 of 30 above its null 95th percentile; k_f likewise), whereas raw JS misreported 36.7% and cosine 23.3% (Fig. 2e; Supplementary Table 3a).</w:t>
      </w:r>
    </w:p>
    <w:p>
      <w:pPr>
        <w:spacing w:line="276" w:lineRule="auto" w:after="80"/>
        <w:ind w:firstLine="0"/>
      </w:pPr>
      <w:r>
        <w:rPr>
          <w:rFonts w:ascii="Arial" w:hAnsi="Arial"/>
          <w:b w:val="0"/>
          <w:i w:val="0"/>
          <w:color w:val="000000"/>
          <w:sz w:val="22"/>
        </w:rPr>
        <w:t xml:space="preserve">The design scales to the brain atlas (606 10x libraries) as a four-tier drift ladder of library-level pairs </w:t>
      </w:r>
      <w:r>
        <w:rPr>
          <w:rFonts w:ascii="Arial" w:hAnsi="Arial"/>
          <w:b w:val="0"/>
          <w:i w:val="0"/>
          <w:color w:val="000000"/>
          <w:sz w:val="22"/>
          <w:vertAlign w:val="superscript"/>
        </w:rPr>
        <w:t>12</w:t>
      </w:r>
      <w:r>
        <w:rPr>
          <w:rFonts w:ascii="Arial" w:hAnsi="Arial"/>
          <w:b w:val="0"/>
          <w:i w:val="0"/>
          <w:color w:val="000000"/>
          <w:sz w:val="22"/>
        </w:rPr>
        <w:t>: the per-pair null (Methods); T1, same donor, region, and cell type (2,161 pairs); T2, different donors within a region (1,089); T3, different regions within a donor (1,656). On T1, ω misreported least among continuous divergence metrics (FPR 28.6% versus 35.7–45.2% others, McNemar P ≤ 4.1 × 10⁻¹²; Fig. 2e, f; Supplementary Table 4), and its calibration gradient is shallowest across the ladder (T3 ratio 1.80 versus 2.98 raw JS).</w:t>
      </w:r>
    </w:p>
    <w:p>
      <w:pPr>
        <w:spacing w:line="276" w:lineRule="auto" w:after="80"/>
        <w:ind w:firstLine="0"/>
      </w:pPr>
      <w:r>
        <w:rPr>
          <w:rFonts w:ascii="Arial" w:hAnsi="Arial"/>
          <w:b w:val="0"/>
          <w:i w:val="0"/>
          <w:color w:val="000000"/>
          <w:sz w:val="22"/>
        </w:rPr>
        <w:t>Two qualifications temper this: the absolute ω FPR grows with group size (14.1% below 30 nuclei to 48.0% above 500; raw JS 28.6% to 72.5% across strata)—a library-level component the anchor absorbs only partially—and a minority of classes show gene-specific library effects (Section 3.12 of the Supplementary Information). Neutral-drift immunity thus transfers as a relative-calibration advantage.</w:t>
      </w:r>
    </w:p>
    <w:p>
      <w:pPr>
        <w:spacing w:line="276" w:lineRule="auto" w:after="80"/>
        <w:ind w:firstLine="0"/>
      </w:pPr>
      <w:r>
        <w:rPr>
          <w:rFonts w:ascii="Arial" w:hAnsi="Arial"/>
          <w:b w:val="0"/>
          <w:i w:val="0"/>
          <w:color w:val="000000"/>
          <w:sz w:val="22"/>
        </w:rPr>
        <w:t xml:space="preserve">On unused data, sample-matched microglia-versus-CNS-macrophage pairs of the CELLxGENE Microglia supercluster </w:t>
      </w:r>
      <w:r>
        <w:rPr>
          <w:rFonts w:ascii="Arial" w:hAnsi="Arial"/>
          <w:b w:val="0"/>
          <w:i w:val="0"/>
          <w:color w:val="000000"/>
          <w:sz w:val="22"/>
          <w:vertAlign w:val="superscript"/>
        </w:rPr>
        <w:t>12</w:t>
      </w:r>
      <w:r>
        <w:rPr>
          <w:rFonts w:ascii="Arial" w:hAnsi="Arial"/>
          <w:b w:val="0"/>
          <w:i w:val="0"/>
          <w:color w:val="000000"/>
          <w:sz w:val="22"/>
        </w:rPr>
        <w:t xml:space="preserve"> (91,838 nuclei; n = 35) separate cleanly from neutral half-splits (n = 40; ω 21.83 ± 7.20 versus 1.30 ± 0.36; Mann-Whitney P = 5.5 × 10⁻¹⁴, descriptive; AUC = 1.00), the margin carried by k_f (Supplementary Note 7; Supplementary Fig. 4).</w:t>
      </w:r>
    </w:p>
    <w:p>
      <w:pPr>
        <w:pStyle w:val="Heading2"/>
        <w:spacing w:before="420" w:after="160"/>
      </w:pPr>
      <w:r>
        <w:rPr>
          <w:rFonts w:ascii="Arial" w:hAnsi="Arial"/>
          <w:color w:val="000000"/>
          <w:sz w:val="24"/>
          <w:b/>
        </w:rPr>
        <w:t>Perturbation-response boundaries and fixed-panel ablation</w:t>
      </w:r>
    </w:p>
    <w:p>
      <w:pPr>
        <w:spacing w:line="276" w:lineRule="auto" w:after="80"/>
        <w:ind w:firstLine="0"/>
      </w:pPr>
      <w:r>
        <w:rPr>
          <w:rFonts w:ascii="Arial" w:hAnsi="Arial"/>
          <w:b w:val="0"/>
          <w:i w:val="0"/>
          <w:color w:val="000000"/>
          <w:sz w:val="22"/>
        </w:rPr>
        <w:t xml:space="preserve">Three analyses bound where ω fires. First, on a real perturbation—PBMCs from eight donors, control versus 6-hour IFN-β stimulation </w:t>
      </w:r>
      <w:r>
        <w:rPr>
          <w:rFonts w:ascii="Arial" w:hAnsi="Arial"/>
          <w:b w:val="0"/>
          <w:i w:val="0"/>
          <w:color w:val="000000"/>
          <w:sz w:val="22"/>
          <w:vertAlign w:val="superscript"/>
        </w:rPr>
        <w:t>14</w:t>
      </w:r>
      <w:r>
        <w:rPr>
          <w:rFonts w:ascii="Arial" w:hAnsi="Arial"/>
          <w:b w:val="0"/>
          <w:i w:val="0"/>
          <w:color w:val="000000"/>
          <w:sz w:val="22"/>
        </w:rPr>
        <w:t xml:space="preserve"> (24,413 cells, six cell types; Methods), condition fully confounded with lane—the perturbation was visible at the ω level in all six cell types, but k_f alone separated perturbation from donor drift as well or better (rank AUC: ω 0.55–0.92, k_f 0.74–1.00); in CD14+ monocytes ω fell to 0.55 while k_f retained 0.98, because stimulation raises housekeeping expression itself (median k_n 1.2–5.7-fold), partially cancelling the functional signal (Supplementary Fig. 4; Supplementary Note 8). Second, benchmarking against MELD (v1.0.2) and scDist (Python approximation) on the same dataset </w:t>
      </w:r>
      <w:r>
        <w:rPr>
          <w:rFonts w:ascii="Arial" w:hAnsi="Arial"/>
          <w:b w:val="0"/>
          <w:i w:val="0"/>
          <w:color w:val="000000"/>
          <w:sz w:val="22"/>
          <w:vertAlign w:val="superscript"/>
        </w:rPr>
        <w:t>14</w:t>
      </w:r>
      <w:r>
        <w:rPr>
          <w:rFonts w:ascii="Arial" w:hAnsi="Arial"/>
          <w:b w:val="0"/>
          <w:i w:val="0"/>
          <w:color w:val="000000"/>
          <w:sz w:val="22"/>
        </w:rPr>
        <w:t>: CKI and MELD agreed on effect direction in 6 of 6 cell types, but MELD’s within-type separation was near-saturated (AUC 0.997–0.9998), and in an additive mean-shift simulation both detected every configuration, whereas CKI ω rose from AUC 0.52 to 0.79 on 100-gene shifts but collapsed to 0.05–0.13 on 500 genes, where the anchor responds (k_n AUC = 1.000)—for maximal power on broad perturbations use MELD, scDist, or CKI’s own k_f. Third, non-circular panels left rankings untouched (pair-level ρ = 0.937 leave-pair-out, 0.918–0.931 other panels; class means ρ = 0.90–0.99), and the astrocyte-to-Bergmann-glia gradient was preserved and amplified (6.10-fold reported; 6.53-fold leave-pair-out), with class-level significance robust (Supplementary Note 9); circular selection inflated k_f by a median 1.61-fold versus leave-pair-out (grand mean ω 38.55; 26.5 leave-pair-out; 6.5 fixed), so absolute ω values are upper-bound, scheme-specific estimates: rank-based conclusions are robust, but the tier cutoffs (ω &lt; 15/25/35) do not transfer.</w:t>
      </w:r>
    </w:p>
    <w:p>
      <w:pPr>
        <w:pStyle w:val="Heading2"/>
        <w:spacing w:before="420" w:after="160"/>
      </w:pPr>
      <w:r>
        <w:rPr>
          <w:rFonts w:ascii="Arial" w:hAnsi="Arial"/>
          <w:color w:val="000000"/>
          <w:sz w:val="24"/>
          <w:b/>
        </w:rPr>
        <w:t>A pan-cancer map of tissue-level divergence in tumors</w:t>
      </w:r>
    </w:p>
    <w:p>
      <w:pPr>
        <w:spacing w:line="276" w:lineRule="auto" w:after="80"/>
        <w:ind w:firstLine="0"/>
      </w:pPr>
      <w:r>
        <w:rPr>
          <w:rFonts w:ascii="Arial" w:hAnsi="Arial"/>
          <w:b w:val="0"/>
          <w:i w:val="0"/>
          <w:color w:val="000000"/>
          <w:sz w:val="22"/>
        </w:rPr>
        <w:t xml:space="preserve">We applied CKI to TCGA bulk RNA-seq across five cancer types (LUAD, LUSC, LIHC, KIRC, BRCA) </w:t>
      </w:r>
      <w:r>
        <w:rPr>
          <w:rFonts w:ascii="Arial" w:hAnsi="Arial"/>
          <w:b w:val="0"/>
          <w:i w:val="0"/>
          <w:color w:val="000000"/>
          <w:sz w:val="22"/>
          <w:vertAlign w:val="superscript"/>
        </w:rPr>
        <w:t>10,11</w:t>
      </w:r>
      <w:r>
        <w:rPr>
          <w:rFonts w:ascii="Arial" w:hAnsi="Arial"/>
          <w:b w:val="0"/>
          <w:i w:val="0"/>
          <w:color w:val="000000"/>
          <w:sz w:val="22"/>
        </w:rPr>
        <w:t>, totalling 3,535 samples, comparing tumor–tumor (TT), normal–normal (NN), and tumor–normal pairs within each type (Fig. 3; Supplementary Fig. 3). A pan-cancer reversal emerged: NN pairs were more divergent than TT pairs in all five (mean NN/TT ω: LUAD 2.46, KIRC 1.88, LUSC 1.71, BRCA 1.57, LIHC 1.11; cluster-bootstrap CI excluding 1 in four of five, LIHC excepted; Supplementary Table 5). All TCGA results exclude 32 cell-line-derived aliquots found by barcode audit (Supplementary Methods 5.3). Decomposition identified the mechanism: TT k_n exceeded NN k_n by 1.3–3.3-fold in every cancer type while TT k_f was equal to or higher—the reversal reflects a more stable housekeeping baseline among adjacent non-tumor specimens, not smaller functional-gene divergence of tumor cells (Fig. 3a).</w:t>
      </w:r>
    </w:p>
    <w:p>
      <w:pPr>
        <w:spacing w:line="276" w:lineRule="auto" w:after="80"/>
        <w:ind w:firstLine="0"/>
      </w:pPr>
      <w:r>
        <w:rPr>
          <w:rFonts w:ascii="Arial" w:hAnsi="Arial"/>
          <w:b w:val="0"/>
          <w:i w:val="0"/>
          <w:color w:val="000000"/>
          <w:sz w:val="22"/>
        </w:rPr>
        <w:t>Stratifying LUAD tumors by driver mutation (61 EGFR-mutant, 120 KRAS-mutant, 311 wild-type; Fig. 3b), KRAS-mutant tumors showed the highest bulk tissue-state divergence (mean ω = 136.9 versus 115.4 wild-type and 122.2 EGFR-mutant; Kruskal-Wallis P = 7.8 × 10⁻⁷; Dunn–Holm P ≤ 0.008 for both KRAS contrasts, P = 0.39 for EGFR–wild-type; label-permutation confirmed; Supplementary Table 6). The KRAS elevation was carried predominantly by a lower housekeeping baseline (~73% of the log-ω gap) with an accompanying functional component (KRAS versus EGFR under k_f alone, P = 0.015; Fig. 3c, d). Adjusting for ESTIMATE stromal/immune admixture left the KRAS–wild-type difference significant (adjusted log-ω ratio 1.19, 95% CI [1.12, 1.26]) but abolished the apparent EGFR elevation (all adjusted P &gt; 0.4); adjusting for smoking, alone or jointly with admixture, or with age and sex, left the contrast essentially unchanged (whole-tumor permutation of the adjusted models, B = 10,000: KRAS–WT P ≤ 0.001, EGFR–WT P ≥ 0.28; Section 3.13 of the Supplementary Information; Supplementary Table 7). TP53 co-mutation and histological subtype remain unadjusted; stratifications beyond LUAD are denominator-dominated vignettes (Supplementary Note 5).</w:t>
      </w:r>
    </w:p>
    <w:p>
      <w:pPr>
        <w:spacing w:line="276" w:lineRule="auto" w:after="80"/>
        <w:ind w:firstLine="0"/>
      </w:pPr>
      <w:r>
        <w:rPr>
          <w:rFonts w:ascii="Arial" w:hAnsi="Arial"/>
          <w:b w:val="0"/>
          <w:i w:val="0"/>
          <w:color w:val="000000"/>
          <w:sz w:val="22"/>
        </w:rPr>
        <w:t xml:space="preserve">Four controls bound the interpretation (Supplementary Note 10). Composition adjustment left the pooled tumor-pair k_n coefficient unchanged (−0.9% pooled, 95% CI −4.3% to +2.5%), and high-purity-half comparisons increased the NN/TT ratio in all five, so admixture can only weaken, not create, the elevation. All TCGA statistics were recomputed under the authoritative linear probability mapping (Section 1.7); only LIHC is mapping-sensitive (linear 1.11 [0.94, 1.30] versus softmax 1.29 [1.09, 1.53], the latter excluding 1 in all five; Supplementary Table 8a), and the housekeeping floor (k_n ≥ 10⁻⁴) is essentially never reached (Supplementary Note 10). LUAD KRAS identity panels showed no MSigDB Hallmark enrichment </w:t>
      </w:r>
      <w:r>
        <w:rPr>
          <w:rFonts w:ascii="Arial" w:hAnsi="Arial"/>
          <w:b w:val="0"/>
          <w:i w:val="0"/>
          <w:color w:val="000000"/>
          <w:sz w:val="22"/>
          <w:vertAlign w:val="superscript"/>
        </w:rPr>
        <w:t>15</w:t>
      </w:r>
      <w:r>
        <w:rPr>
          <w:rFonts w:ascii="Arial" w:hAnsi="Arial"/>
          <w:b w:val="0"/>
          <w:i w:val="0"/>
          <w:color w:val="000000"/>
          <w:sz w:val="22"/>
        </w:rPr>
        <w:t xml:space="preserve"> after correction (all q ≥ 0.24), and composition-adjusted regressions retained TT ≥ NN k_f ordering in all five. TCGA “normal” samples are adjacent non-tumor, and per-tumor ω was not associated with survival (ex-CC LIHC Cox, stage categorical: ω HR per SD 1.08 [0.88, 1.33], P = 0.467; k_f likewise null; Supplementary Table 8b): we report all TCGA findings as tissue-level divergence at bulk resolution, pending single-cell validation (reference-free composition check: non-parenchymal fraction versus k_n, ρ = 0.20–0.26; Supplementary Note 10).</w:t>
      </w:r>
    </w:p>
    <w:p>
      <w:pPr>
        <w:spacing w:line="276" w:lineRule="auto" w:after="80"/>
        <w:ind w:firstLine="0"/>
      </w:pPr>
      <w:r>
        <w:rPr>
          <w:rFonts w:ascii="Arial" w:hAnsi="Arial"/>
          <w:b w:val="0"/>
          <w:i w:val="0"/>
          <w:color w:val="000000"/>
          <w:sz w:val="22"/>
        </w:rPr>
        <w:t>A GTEx healthy reference supplies the missing external comparison (Supplementary Note 10): in lung, liver, and breast, adjacent-normal k_n is as low as healthy k_n (healthy/adjacent ≈ 1.0–1.2) while tumor k_n is 2.0–2.8-fold higher—adjacent non-tumor resembles healthy tissue, tentatively consistent with tumor-specific elevation rather than a field effect within cohorts. Kidney is the exception (GTEx cortex k_n ≈ tumor; n = 28, high variance). This cross-cohort reference is descriptive only (processing shifts k_n 1.8–2.3-fold).</w:t>
      </w:r>
    </w:p>
    <w:p>
      <w:pPr>
        <w:pStyle w:val="Heading2"/>
        <w:spacing w:before="420" w:after="160"/>
      </w:pPr>
      <w:r>
        <w:rPr>
          <w:rFonts w:ascii="Arial" w:hAnsi="Arial"/>
          <w:color w:val="000000"/>
          <w:sz w:val="24"/>
          <w:b/>
        </w:rPr>
        <w:t>CKI ranks cell types by cross-organ conservation</w:t>
      </w:r>
    </w:p>
    <w:p>
      <w:pPr>
        <w:spacing w:line="276" w:lineRule="auto" w:after="80"/>
        <w:ind w:firstLine="0"/>
      </w:pPr>
      <w:r>
        <w:rPr>
          <w:rFonts w:ascii="Arial" w:hAnsi="Arial"/>
          <w:b w:val="0"/>
          <w:i w:val="0"/>
          <w:color w:val="000000"/>
          <w:sz w:val="22"/>
        </w:rPr>
        <w:t xml:space="preserve">Of the 4,851 Tabula Sapiens pairs, 59 are same-cell-type cross-organ comparisons (Fig. 4; Table 1; Supplementary Fig. 5). Among well-sampled types (n ≥ 5 pairs; Table 1), CD8+ T cells (mean ω = 9.93 ± 4.62, n = 6) and Plasma cells (mean ω = 10.20 ± 2.03, n = 6) were the most conserved, followed by Neutrophils and NK cells, with Macrophages (n = 15) intermediate; Endothelial cells and Erythrocytes were the most divergent, consistent with organ-specific endothelial programs </w:t>
      </w:r>
      <w:r>
        <w:rPr>
          <w:rFonts w:ascii="Arial" w:hAnsi="Arial"/>
          <w:b w:val="0"/>
          <w:i w:val="0"/>
          <w:color w:val="000000"/>
          <w:sz w:val="22"/>
          <w:vertAlign w:val="superscript"/>
        </w:rPr>
        <w:t>16</w:t>
      </w:r>
      <w:r>
        <w:rPr>
          <w:rFonts w:ascii="Arial" w:hAnsi="Arial"/>
          <w:b w:val="0"/>
          <w:i w:val="0"/>
          <w:color w:val="000000"/>
          <w:sz w:val="22"/>
        </w:rPr>
        <w:t xml:space="preserve"> (both n = 3); sparsely sampled types carry no reliable signal.</w:t>
      </w:r>
    </w:p>
    <w:p>
      <w:pPr>
        <w:spacing w:line="276" w:lineRule="auto" w:after="80"/>
        <w:ind w:firstLine="0"/>
      </w:pPr>
      <w:r>
        <w:rPr>
          <w:rFonts w:ascii="Arial" w:hAnsi="Arial"/>
          <w:b w:val="0"/>
          <w:i w:val="0"/>
          <w:color w:val="000000"/>
          <w:sz w:val="22"/>
        </w:rPr>
        <w:t>The cross-organ ranking agreed little with standard-metric rankings (Spearman r = −0.40 to 0.02, n = 59 pairs; Supplementary Table 9), because CKI explicitly normalizes: per-cell-type mean ω and mean k_f are only weakly concordant (k_f-only control, Supplementary Note 5; r = 0.23, 95% CI [−0.08, 0.38], n = 17)—the extremes reproduce, the middle does not. The ranking thus composites functional divergence and baseline differences; with the k_n anchor not calibrated across cell types, cross-type gaps should be read descriptively (Discussion).</w:t>
      </w:r>
    </w:p>
    <w:p>
      <w:pPr>
        <w:pStyle w:val="Heading2"/>
        <w:spacing w:before="420" w:after="160"/>
      </w:pPr>
      <w:r>
        <w:rPr>
          <w:rFonts w:ascii="Arial" w:hAnsi="Arial"/>
          <w:color w:val="000000"/>
          <w:sz w:val="24"/>
          <w:b/>
        </w:rPr>
        <w:t>Brain regional analysis reveals divergence gradients</w:t>
      </w:r>
    </w:p>
    <w:p>
      <w:pPr>
        <w:spacing w:line="276" w:lineRule="auto" w:after="80"/>
        <w:ind w:firstLine="0"/>
      </w:pPr>
      <w:r>
        <w:rPr>
          <w:rFonts w:ascii="Arial" w:hAnsi="Arial"/>
          <w:b w:val="0"/>
          <w:i w:val="0"/>
          <w:color w:val="000000"/>
          <w:sz w:val="22"/>
        </w:rPr>
        <w:t xml:space="preserve">We applied CKI to the Siletti et al. human brain atlas </w:t>
      </w:r>
      <w:r>
        <w:rPr>
          <w:rFonts w:ascii="Arial" w:hAnsi="Arial"/>
          <w:b w:val="0"/>
          <w:i w:val="0"/>
          <w:color w:val="000000"/>
          <w:sz w:val="22"/>
          <w:vertAlign w:val="superscript"/>
        </w:rPr>
        <w:t>12</w:t>
      </w:r>
      <w:r>
        <w:rPr>
          <w:rFonts w:ascii="Arial" w:hAnsi="Arial"/>
          <w:b w:val="0"/>
          <w:i w:val="0"/>
          <w:color w:val="000000"/>
          <w:sz w:val="22"/>
        </w:rPr>
        <w:t xml:space="preserve"> (~3.3 million nuclei, 108 regions), focusing on 888,263 non-neuronal nuclei in 10 major classes (supercluster_term does not resolve neuronal subtypes). ω was computed for all same-cell-type cross-region pairs (31,764; Fig. 5; Supplementary Fig. 6; Supplementary Table 10); vascular cells and fibroblasts are heterogeneous superclusters (class-level ω = supercluster averages).</w:t>
      </w:r>
    </w:p>
    <w:p>
      <w:pPr>
        <w:spacing w:line="276" w:lineRule="auto" w:after="80"/>
        <w:ind w:firstLine="0"/>
      </w:pPr>
      <w:r>
        <w:rPr>
          <w:rFonts w:ascii="Arial" w:hAnsi="Arial"/>
          <w:b w:val="0"/>
          <w:i w:val="0"/>
          <w:color w:val="000000"/>
          <w:sz w:val="22"/>
        </w:rPr>
        <w:t>The neuronal superclass tier shows the complementary pattern: mean ω 63.5–69.3 (2,995 pairs) versus non-neuronal median 24.5 excluding astrocytes; two of three superclasses exceed their design-matched block-shuffle nulls (P = 0.001, 0.014, 0.163), so the non-neuronal screen understates atlas-wide divergence (Fig. 5e, f; Supplementary Note 18; Supplementary Fig. 7; Supplementary Table 11).</w:t>
      </w:r>
    </w:p>
    <w:p>
      <w:pPr>
        <w:spacing w:line="276" w:lineRule="auto" w:after="80"/>
        <w:ind w:firstLine="0"/>
      </w:pPr>
      <w:r>
        <w:rPr>
          <w:rFonts w:ascii="Arial" w:hAnsi="Arial"/>
          <w:b w:val="0"/>
          <w:i w:val="0"/>
          <w:color w:val="000000"/>
          <w:sz w:val="22"/>
        </w:rPr>
        <w:t>Class-mean ω spanned a regional gradient from Bergmann glia and vascular cells (both 13.56) to astrocytes (82.75 ± 44.98, n = 5,778 pairs)—a full-data endpoint gradient of 6.10-fold, an upper bound. Two controls converge on an intermediate value: a span-matched control (21 intra-cerebellar pairs) yields 3.68 observed (3.28 under donor-level bootstrap [1.67, 3.97]) and a combined span- and size-matched control yields 3.66 observed (donor-level median 3.28 [1.92, 3.78]; leave-one-donor-out &gt; 1). The size-only equal-n control (1.74) is not donor-robust (95% CI [0.80, 2.34]; sensitivity analysis, Supplementary Note 11). RNA-quality proxies do not drive the gradient: (class, region)-level adjustment for detection depth, UMI, and mitochondrial fraction leaves it at 6.33–6.45.</w:t>
      </w:r>
    </w:p>
    <w:p>
      <w:pPr>
        <w:spacing w:line="276" w:lineRule="auto" w:after="80"/>
        <w:ind w:firstLine="0"/>
      </w:pPr>
      <w:r>
        <w:rPr>
          <w:rFonts w:ascii="Arial" w:hAnsi="Arial"/>
          <w:b w:val="0"/>
          <w:i w:val="0"/>
          <w:color w:val="000000"/>
          <w:sz w:val="22"/>
        </w:rPr>
        <w:t>A cell-type-level block-shuffle null permuting library-to-region assignments (B = 1,000; Methods): regional structure significantly raised mean ω for 4 of 10 classes (astrocytes at the permutation floor; OPCs, committed OPCs, fibroblasts P ≤ 0.030), 3 of 10 surviving Benjamini-Hochberg correction; a donor-stratified null leaves the same 3 of 10 (ependymal cells, moving against the conservative direction, still do not survive: stratified q = 0.052). Microglia, oligodendrocytes, and Bergmann glia sit at or below the null expectation.</w:t>
      </w:r>
    </w:p>
    <w:p>
      <w:pPr>
        <w:spacing w:line="276" w:lineRule="auto" w:after="80"/>
        <w:ind w:firstLine="0"/>
      </w:pPr>
      <w:r>
        <w:rPr>
          <w:rFonts w:ascii="Arial" w:hAnsi="Arial"/>
          <w:b w:val="0"/>
          <w:i w:val="0"/>
          <w:color w:val="000000"/>
          <w:sz w:val="22"/>
        </w:rPr>
        <w:t>Three analyses probe robustness. First, same-donor region pairs preserve the extremes and a 4.50-fold gradient (Supplementary Note 12). Second, the astrocyte-versus-Bergmann-glia contrast is predominantly a k_n effect (k_f differs 2.0-fold; mean k_n 3.2-fold; pair-level variability: Supplementary Fig. 6): class-mean ω tracks k_n (ρ = −0.73) but not k_f (ρ = 0.09), and under a k_f-only ordering astrocytes rank third of ten.</w:t>
      </w:r>
    </w:p>
    <w:p>
      <w:pPr>
        <w:spacing w:line="276" w:lineRule="auto" w:after="80"/>
        <w:ind w:firstLine="0"/>
      </w:pPr>
      <w:r>
        <w:rPr>
          <w:rFonts w:ascii="Arial" w:hAnsi="Arial"/>
          <w:b w:val="0"/>
          <w:i w:val="0"/>
          <w:color w:val="000000"/>
          <w:sz w:val="22"/>
        </w:rPr>
        <w:t>Third, class-mean k_n correlates negatively with class size (Spearman ρ = −0.648, P = 0.043) while class-mean ω does not (P ≥ 0.091), and the equal-n decomposition shows the full-data Bergmann-glia k_n elevation is largely a class-size artefact (Supplementary Note 11).</w:t>
      </w:r>
    </w:p>
    <w:p>
      <w:pPr>
        <w:spacing w:line="276" w:lineRule="auto" w:after="80"/>
        <w:ind w:firstLine="0"/>
      </w:pPr>
      <w:r>
        <w:rPr>
          <w:rFonts w:ascii="Arial" w:hAnsi="Arial"/>
          <w:b w:val="0"/>
          <w:i w:val="0"/>
          <w:color w:val="000000"/>
          <w:sz w:val="22"/>
        </w:rPr>
        <w:t xml:space="preserve">The ordering is compatible with known cell biology—tissue-resident vascular cells and fibroblasts lowest </w:t>
      </w:r>
      <w:r>
        <w:rPr>
          <w:rFonts w:ascii="Arial" w:hAnsi="Arial"/>
          <w:b w:val="0"/>
          <w:i w:val="0"/>
          <w:color w:val="000000"/>
          <w:sz w:val="22"/>
          <w:vertAlign w:val="superscript"/>
        </w:rPr>
        <w:t>17,18</w:t>
      </w:r>
      <w:r>
        <w:rPr>
          <w:rFonts w:ascii="Arial" w:hAnsi="Arial"/>
          <w:b w:val="0"/>
          <w:i w:val="0"/>
          <w:color w:val="000000"/>
          <w:sz w:val="22"/>
        </w:rPr>
        <w:t xml:space="preserve">, regionally specialized astrocytes highest </w:t>
      </w:r>
      <w:r>
        <w:rPr>
          <w:rFonts w:ascii="Arial" w:hAnsi="Arial"/>
          <w:b w:val="0"/>
          <w:i w:val="0"/>
          <w:color w:val="000000"/>
          <w:sz w:val="22"/>
          <w:vertAlign w:val="superscript"/>
        </w:rPr>
        <w:t>19</w:t>
      </w:r>
      <w:r>
        <w:rPr>
          <w:rFonts w:ascii="Arial" w:hAnsi="Arial"/>
          <w:b w:val="0"/>
          <w:i w:val="0"/>
          <w:color w:val="000000"/>
          <w:sz w:val="22"/>
        </w:rPr>
        <w:t>—but it is k_n-dominated and does not establish functional specialization.</w:t>
      </w:r>
    </w:p>
    <w:p>
      <w:pPr>
        <w:spacing w:line="276" w:lineRule="auto" w:after="80"/>
        <w:ind w:firstLine="0"/>
      </w:pPr>
      <w:r>
        <w:rPr>
          <w:rFonts w:ascii="Arial" w:hAnsi="Arial"/>
          <w:b w:val="0"/>
          <w:i w:val="0"/>
          <w:color w:val="000000"/>
          <w:sz w:val="22"/>
        </w:rPr>
        <w:t>A residence/migration framework finds no support: OPCs—the most actively migrating population—show the second-highest mean ω (40.62), with no oligodendrocyte-lineage concentration (fold 0.77, P = 0.92).</w:t>
      </w:r>
    </w:p>
    <w:p>
      <w:pPr>
        <w:pStyle w:val="Heading2"/>
        <w:spacing w:before="420" w:after="160"/>
      </w:pPr>
      <w:r>
        <w:rPr>
          <w:rFonts w:ascii="Arial" w:hAnsi="Arial"/>
          <w:color w:val="000000"/>
          <w:sz w:val="24"/>
          <w:b/>
        </w:rPr>
        <w:t>Anomalously similar pairs: a hypothesis-generating screen</w:t>
      </w:r>
    </w:p>
    <w:p>
      <w:pPr>
        <w:spacing w:line="276" w:lineRule="auto" w:after="80"/>
        <w:ind w:firstLine="0"/>
      </w:pPr>
      <w:r>
        <w:rPr>
          <w:rFonts w:ascii="Arial" w:hAnsi="Arial"/>
          <w:b w:val="0"/>
          <w:i w:val="0"/>
          <w:color w:val="000000"/>
          <w:sz w:val="22"/>
        </w:rPr>
        <w:t xml:space="preserve">Low ω for a cell type across two regions indicates similarity beyond baseline expectation, with several non-exclusive candidate mechanisms </w:t>
      </w:r>
      <w:r>
        <w:rPr>
          <w:rFonts w:ascii="Arial" w:hAnsi="Arial"/>
          <w:b w:val="0"/>
          <w:i w:val="0"/>
          <w:color w:val="000000"/>
          <w:sz w:val="22"/>
          <w:vertAlign w:val="superscript"/>
        </w:rPr>
        <w:t>20–24</w:t>
      </w:r>
      <w:r>
        <w:rPr>
          <w:rFonts w:ascii="Arial" w:hAnsi="Arial"/>
          <w:b w:val="0"/>
          <w:i w:val="0"/>
          <w:color w:val="000000"/>
          <w:sz w:val="22"/>
        </w:rPr>
        <w:t>. Under a design-matched null recomputing the full selection rule per permutation, the expected Strong-candidate count is 148.3 across the 31,764-pair pool—the 39 observed lie 3.8-fold below expectation (P(null count ≥ 39) = 1.0, i.e. depletion, not enrichment), and no candidate survives global FDR correction (minimum q = 0.520). The catalogue is thus a prioritized hypothesis list, inheriting the four-donor structure (Supplementary Note 11).</w:t>
      </w:r>
    </w:p>
    <w:p>
      <w:pPr>
        <w:spacing w:line="276" w:lineRule="auto" w:after="80"/>
        <w:ind w:firstLine="0"/>
      </w:pPr>
      <w:r>
        <w:rPr>
          <w:rFonts w:ascii="Arial" w:hAnsi="Arial"/>
          <w:b w:val="0"/>
          <w:i w:val="0"/>
          <w:color w:val="000000"/>
          <w:sz w:val="22"/>
        </w:rPr>
        <w:t>The screen uses a multiplicative model, expected_ω = μ_ct × μ_pair / μ_grand, with three residual tiers: Strong (&lt; 0.3, ω &lt; 15, lowest ω in the pair), Moderate (&lt; 0.5, ω &lt; 25), Weak (&lt; 0.75, ω &lt; 35; Methods; Supplementary Fig. 8).</w:t>
      </w:r>
    </w:p>
    <w:p>
      <w:pPr>
        <w:spacing w:line="276" w:lineRule="auto" w:after="80"/>
        <w:ind w:firstLine="0"/>
      </w:pPr>
      <w:r>
        <w:rPr>
          <w:rFonts w:ascii="Arial" w:hAnsi="Arial"/>
          <w:b w:val="0"/>
          <w:i w:val="0"/>
          <w:color w:val="000000"/>
          <w:sz w:val="22"/>
        </w:rPr>
        <w:t>Criteria identified 39 (0.12%) Strong, 1,171 (3.69%) Moderate, and 5,381 (16.94%) Weak candidates among 31,764 comparisons (Supplementary Tables 12, 13). Under the block-shuffle null (B = 1,000; Supplementary Fig. 8), 31 Strong candidates showed raw P &lt; 0.05; the only sub-nominal stratified family is intra-cerebellar Bergmann-glia (m = 21; within-family minimum q = 0.042). The microglial concentration (16 Strong) does not survive the design-matched null (fold 0.31, P = 0.990): we make no class-composition claim.</w:t>
      </w:r>
    </w:p>
    <w:p>
      <w:pPr>
        <w:spacing w:line="276" w:lineRule="auto" w:after="80"/>
        <w:ind w:firstLine="0"/>
      </w:pPr>
      <w:r>
        <w:rPr>
          <w:rFonts w:ascii="Arial" w:hAnsi="Arial"/>
          <w:b w:val="0"/>
          <w:i w:val="0"/>
          <w:color w:val="000000"/>
          <w:sz w:val="22"/>
        </w:rPr>
        <w:t>A pseudo-region negative control (127,756 pseudo-pairs) confirms the null is calibrated by library-level, not regional, structure (near-nominal cross-region tail rates; Supplementary Note 12; Supplementary Fig. 5).</w:t>
      </w:r>
    </w:p>
    <w:p>
      <w:pPr>
        <w:spacing w:line="276" w:lineRule="auto" w:after="80"/>
        <w:ind w:firstLine="0"/>
      </w:pPr>
      <w:r>
        <w:rPr>
          <w:rFonts w:ascii="Arial" w:hAnsi="Arial"/>
          <w:b w:val="0"/>
          <w:i w:val="0"/>
          <w:color w:val="000000"/>
          <w:sz w:val="22"/>
        </w:rPr>
        <w:t xml:space="preserve">The catalogue shows spatial patterning without anatomical themes. Microglial candidates (16 of 39) concentrate on visual-relay and orbitofrontal dissections (Supplementary Notes 13, 14), and mature-oligodendrocyte candidates (10, all raw P &lt; 0.05) show a thalamo-temporal orientation crossing the dorsoventral origin boundary </w:t>
      </w:r>
      <w:r>
        <w:rPr>
          <w:rFonts w:ascii="Arial" w:hAnsi="Arial"/>
          <w:b w:val="0"/>
          <w:i w:val="0"/>
          <w:color w:val="000000"/>
          <w:sz w:val="22"/>
          <w:vertAlign w:val="superscript"/>
        </w:rPr>
        <w:t>25</w:t>
      </w:r>
      <w:r>
        <w:rPr>
          <w:rFonts w:ascii="Arial" w:hAnsi="Arial"/>
          <w:b w:val="0"/>
          <w:i w:val="0"/>
          <w:color w:val="000000"/>
          <w:sz w:val="22"/>
        </w:rPr>
        <w:t xml:space="preserve"> (Supplementary Note 14); sparse candidates came from astrocytes, fibroblasts, and ependymal cells </w:t>
      </w:r>
      <w:r>
        <w:rPr>
          <w:rFonts w:ascii="Arial" w:hAnsi="Arial"/>
          <w:b w:val="0"/>
          <w:i w:val="0"/>
          <w:color w:val="000000"/>
          <w:sz w:val="22"/>
          <w:vertAlign w:val="superscript"/>
        </w:rPr>
        <w:t>26,27</w:t>
      </w:r>
      <w:r>
        <w:rPr>
          <w:rFonts w:ascii="Arial" w:hAnsi="Arial"/>
          <w:b w:val="0"/>
          <w:i w:val="0"/>
          <w:color w:val="000000"/>
          <w:sz w:val="22"/>
        </w:rPr>
        <w:t xml:space="preserve">, none from Bergmann glia, vascular cells, or choroid plexus </w:t>
      </w:r>
      <w:r>
        <w:rPr>
          <w:rFonts w:ascii="Arial" w:hAnsi="Arial"/>
          <w:b w:val="0"/>
          <w:i w:val="0"/>
          <w:color w:val="000000"/>
          <w:sz w:val="22"/>
          <w:vertAlign w:val="superscript"/>
        </w:rPr>
        <w:t>26,28</w:t>
      </w:r>
      <w:r>
        <w:rPr>
          <w:rFonts w:ascii="Arial" w:hAnsi="Arial"/>
          <w:b w:val="0"/>
          <w:i w:val="0"/>
          <w:color w:val="000000"/>
          <w:sz w:val="22"/>
        </w:rPr>
        <w:t>. But the set is estimator-sensitive (3 of 39 Strong survive a global-k_n switch), so all entries are hypothesis-generating.</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 xml:space="preserve">CKI reframes transcriptomic comparison—from absolute distance to functional divergence relative to an internal baseline—by recombining established ideas: reference genes have long anchored normalization and quality control </w:t>
      </w:r>
      <w:r>
        <w:rPr>
          <w:rFonts w:ascii="Arial" w:hAnsi="Arial"/>
          <w:b w:val="0"/>
          <w:i w:val="0"/>
          <w:color w:val="000000"/>
          <w:sz w:val="22"/>
          <w:vertAlign w:val="superscript"/>
        </w:rPr>
        <w:t>29</w:t>
      </w:r>
      <w:r>
        <w:rPr>
          <w:rFonts w:ascii="Arial" w:hAnsi="Arial"/>
          <w:b w:val="0"/>
          <w:i w:val="0"/>
          <w:color w:val="000000"/>
          <w:sz w:val="22"/>
        </w:rPr>
        <w:t xml:space="preserve">, housekeeping variance constraint is characterized genomically </w:t>
      </w:r>
      <w:r>
        <w:rPr>
          <w:rFonts w:ascii="Arial" w:hAnsi="Arial"/>
          <w:b w:val="0"/>
          <w:i w:val="0"/>
          <w:color w:val="000000"/>
          <w:sz w:val="22"/>
          <w:vertAlign w:val="superscript"/>
        </w:rPr>
        <w:t>13,30</w:t>
      </w:r>
      <w:r>
        <w:rPr>
          <w:rFonts w:ascii="Arial" w:hAnsi="Arial"/>
          <w:b w:val="0"/>
          <w:i w:val="0"/>
          <w:color w:val="000000"/>
          <w:sz w:val="22"/>
        </w:rPr>
        <w:t xml:space="preserve">, and gene-specific noise floors are central to the transcriptional-noise literature </w:t>
      </w:r>
      <w:r>
        <w:rPr>
          <w:rFonts w:ascii="Arial" w:hAnsi="Arial"/>
          <w:b w:val="0"/>
          <w:i w:val="0"/>
          <w:color w:val="000000"/>
          <w:sz w:val="22"/>
          <w:vertAlign w:val="superscript"/>
        </w:rPr>
        <w:t>31–33</w:t>
      </w:r>
      <w:r>
        <w:rPr>
          <w:rFonts w:ascii="Arial" w:hAnsi="Arial"/>
          <w:b w:val="0"/>
          <w:i w:val="0"/>
          <w:color w:val="000000"/>
          <w:sz w:val="22"/>
        </w:rPr>
        <w:t>. CKI combines these into a per-comparison, design-testable index with explicit split-half calibration and a design-matched permutation null. The key assumption—HK genes under stabilizing selection—lacks the mathematical cancellation Ka/Ks enjoys, so CKI is a heuristic index, not a formal measure of selection. k_f systematically exceeds k_n even for identical populations (Results), so ω_cal = ω / 7.70 is an indicative, dataset-relative scale (Results; Supplementary Note 3).</w:t>
      </w:r>
    </w:p>
    <w:p>
      <w:pPr>
        <w:spacing w:line="276" w:lineRule="auto" w:after="80"/>
        <w:ind w:firstLine="0"/>
      </w:pPr>
      <w:r>
        <w:rPr>
          <w:rFonts w:ascii="Arial" w:hAnsi="Arial"/>
          <w:b w:val="0"/>
          <w:i w:val="0"/>
          <w:color w:val="000000"/>
          <w:sz w:val="22"/>
        </w:rPr>
        <w:t>What ω adds beyond k_f is calibration, not detection power: under fourfold cell-count imbalance (simulation) k_f misreports 38% of neutral pairs, ω none; on Kang CD14+ monocytes k_f retains full separation of perturbation from donor drift (AUC 0.98) while ω stays conservative (0.55). Nor is it mathematically forced: permuting k_n across the 5,151 full-inventory human pairs predicts Spearman 0.524 between ω and k_f, yet the observed value is 0.089—the structured baseline decorrelates them (Supplementary Note 5). The framework prices the denominator formally (Supplementary Note 20): k_f alone cannot separate functional from background energy; dividing by k_n studentizes the statistic, collapsing cross-class null dispersion up to eightfold (brain CV 1.21 to 0.148) and licensing one global calibration—the logic of a t-statistic.</w:t>
      </w:r>
    </w:p>
    <w:p>
      <w:pPr>
        <w:spacing w:line="276" w:lineRule="auto" w:after="80"/>
        <w:ind w:firstLine="0"/>
      </w:pPr>
      <w:r>
        <w:rPr>
          <w:rFonts w:ascii="Arial" w:hAnsi="Arial"/>
          <w:b w:val="0"/>
          <w:i w:val="0"/>
          <w:color w:val="000000"/>
          <w:sz w:val="22"/>
        </w:rPr>
        <w:t>CKI is a divergence index, not a classifier. Classifying cell types is largely solved; CKI instead asks: how much functional divergence separates two populations relative to their shared baseline? The negative correlation with standard metrics is partly a denominator effect (decomposition, Results): ω composites numerator and denominator rather than an independent dimension. The ratio earns its increment over k_f under controlled ground truth and in drift rejection; on real-data orderings the increment is not established, and k_f with a design-matched null remains the default for ordering claims.</w:t>
      </w:r>
    </w:p>
    <w:p>
      <w:pPr>
        <w:spacing w:line="276" w:lineRule="auto" w:after="80"/>
        <w:ind w:firstLine="0"/>
      </w:pPr>
      <w:r>
        <w:rPr>
          <w:rFonts w:ascii="Arial" w:hAnsi="Arial"/>
          <w:b w:val="0"/>
          <w:i w:val="0"/>
          <w:color w:val="000000"/>
          <w:sz w:val="22"/>
        </w:rPr>
        <w:t xml:space="preserve">The Ka/Ks analogy is heuristically productive but technically bounded: HK genes are empirically defined, not mechanistically neutral, and are the most constrained expression class, so ω reads as functional divergence in excess of a constrained baseline, never as evidence of positive selection. The full correspondence—including its McDonald–Kreitman-style fourth term </w:t>
      </w:r>
      <w:r>
        <w:rPr>
          <w:rFonts w:ascii="Arial" w:hAnsi="Arial"/>
          <w:b w:val="0"/>
          <w:i w:val="0"/>
          <w:color w:val="000000"/>
          <w:sz w:val="22"/>
          <w:vertAlign w:val="superscript"/>
        </w:rPr>
        <w:t>34</w:t>
      </w:r>
      <w:r>
        <w:rPr>
          <w:rFonts w:ascii="Arial" w:hAnsi="Arial"/>
          <w:b w:val="0"/>
          <w:i w:val="0"/>
          <w:color w:val="000000"/>
          <w:sz w:val="22"/>
        </w:rPr>
        <w:t>—and caveats are in Section 1.4.</w:t>
      </w:r>
    </w:p>
    <w:p>
      <w:pPr>
        <w:spacing w:line="276" w:lineRule="auto" w:after="80"/>
        <w:ind w:firstLine="0"/>
      </w:pPr>
      <w:r>
        <w:rPr>
          <w:rFonts w:ascii="Arial" w:hAnsi="Arial"/>
          <w:b w:val="0"/>
          <w:i w:val="0"/>
          <w:color w:val="000000"/>
          <w:sz w:val="22"/>
        </w:rPr>
        <w:t xml:space="preserve">CKI complements rather than replaces existing methods: SAMap </w:t>
      </w:r>
      <w:r>
        <w:rPr>
          <w:rFonts w:ascii="Arial" w:hAnsi="Arial"/>
          <w:b w:val="0"/>
          <w:i w:val="0"/>
          <w:color w:val="000000"/>
          <w:sz w:val="22"/>
          <w:vertAlign w:val="superscript"/>
        </w:rPr>
        <w:t>35</w:t>
      </w:r>
      <w:r>
        <w:rPr>
          <w:rFonts w:ascii="Arial" w:hAnsi="Arial"/>
          <w:b w:val="0"/>
          <w:i w:val="0"/>
          <w:color w:val="000000"/>
          <w:sz w:val="22"/>
        </w:rPr>
        <w:t xml:space="preserve">, SATURN </w:t>
      </w:r>
      <w:r>
        <w:rPr>
          <w:rFonts w:ascii="Arial" w:hAnsi="Arial"/>
          <w:b w:val="0"/>
          <w:i w:val="0"/>
          <w:color w:val="000000"/>
          <w:sz w:val="22"/>
          <w:vertAlign w:val="superscript"/>
        </w:rPr>
        <w:t>4</w:t>
      </w:r>
      <w:r>
        <w:rPr>
          <w:rFonts w:ascii="Arial" w:hAnsi="Arial"/>
          <w:b w:val="0"/>
          <w:i w:val="0"/>
          <w:color w:val="000000"/>
          <w:sz w:val="22"/>
        </w:rPr>
        <w:t xml:space="preserve">, and CACIMAR </w:t>
      </w:r>
      <w:r>
        <w:rPr>
          <w:rFonts w:ascii="Arial" w:hAnsi="Arial"/>
          <w:b w:val="0"/>
          <w:i w:val="0"/>
          <w:color w:val="000000"/>
          <w:sz w:val="22"/>
          <w:vertAlign w:val="superscript"/>
        </w:rPr>
        <w:t>36</w:t>
      </w:r>
      <w:r>
        <w:rPr>
          <w:rFonts w:ascii="Arial" w:hAnsi="Arial"/>
          <w:b w:val="0"/>
          <w:i w:val="0"/>
          <w:color w:val="000000"/>
          <w:sz w:val="22"/>
        </w:rPr>
        <w:t xml:space="preserve"> address cross-species alignment and conservation scoring—different questions, so we did not benchmark quantitatively. More broadly, CKI provides a principled null model: before concluding two populations differ meaningfully, ask whether the difference exceeds baseline expectation.</w:t>
      </w:r>
    </w:p>
    <w:p>
      <w:pPr>
        <w:spacing w:line="276" w:lineRule="auto" w:after="80"/>
        <w:ind w:firstLine="0"/>
      </w:pPr>
      <w:r>
        <w:rPr>
          <w:rFonts w:ascii="Arial" w:hAnsi="Arial"/>
          <w:b w:val="0"/>
          <w:i w:val="0"/>
          <w:color w:val="000000"/>
          <w:sz w:val="22"/>
        </w:rPr>
        <w:t xml:space="preserve">CKI is also not redundant with Augur </w:t>
      </w:r>
      <w:r>
        <w:rPr>
          <w:rFonts w:ascii="Arial" w:hAnsi="Arial"/>
          <w:b w:val="0"/>
          <w:i w:val="0"/>
          <w:color w:val="000000"/>
          <w:sz w:val="22"/>
          <w:vertAlign w:val="superscript"/>
        </w:rPr>
        <w:t>37</w:t>
      </w:r>
      <w:r>
        <w:rPr>
          <w:rFonts w:ascii="Arial" w:hAnsi="Arial"/>
          <w:b w:val="0"/>
          <w:i w:val="0"/>
          <w:color w:val="000000"/>
          <w:sz w:val="22"/>
        </w:rPr>
        <w:t>: rankings are positively but non-significantly associated (ρ = 0.442 versus class-mean ω; 0.564 versus k_f), descriptive at n = 10 (Supplementary Note 15).</w:t>
      </w:r>
    </w:p>
    <w:p>
      <w:pPr>
        <w:spacing w:line="276" w:lineRule="auto" w:after="80"/>
        <w:ind w:firstLine="0"/>
      </w:pPr>
      <w:r>
        <w:rPr>
          <w:rFonts w:ascii="Arial" w:hAnsi="Arial"/>
          <w:b w:val="0"/>
          <w:i w:val="0"/>
          <w:color w:val="000000"/>
          <w:sz w:val="22"/>
        </w:rPr>
        <w:t xml:space="preserve">The pan-cancer reversal—tumor specimens less divergent than adjacent non-tumor tissue (mean NN/TT 1.11–2.46, cluster-bootstrap CIs excluding 1 in four of five cancers)—is robust at tissue level: the convergence could reflect composition shifts, peritumoral inflammation, or RNA-quality differences, and is predominantly a k_n effect, so the data do not indicate smaller functional divergence of tumor cells. A marker-panel composition check (Supplementary Note 10) shifts the pooled k_n coefficient by only −0.9% on average but heterogeneously: largest in LIHC (+44%, the weakest reversal) and KIRC (+20%), where marker-measurable composition likely contributes. A GTEx healthy reference (Results) shows adjacent-normal k_n at healthy-tissue levels in lung, liver, and breast, consistent with tumor-specific housekeeping elevation over a field effect; kidney is an exception (noisy reference). The motivating hepatocellular literature </w:t>
      </w:r>
      <w:r>
        <w:rPr>
          <w:rFonts w:ascii="Arial" w:hAnsi="Arial"/>
          <w:b w:val="0"/>
          <w:i w:val="0"/>
          <w:color w:val="000000"/>
          <w:sz w:val="22"/>
          <w:vertAlign w:val="superscript"/>
        </w:rPr>
        <w:t>38</w:t>
      </w:r>
      <w:r>
        <w:rPr>
          <w:rFonts w:ascii="Arial" w:hAnsi="Arial"/>
          <w:b w:val="0"/>
          <w:i w:val="0"/>
          <w:color w:val="000000"/>
          <w:sz w:val="22"/>
        </w:rPr>
        <w:t xml:space="preserve"> concerns the weakest-reversal type, where the mechanism is least certain.</w:t>
      </w:r>
    </w:p>
    <w:p>
      <w:pPr>
        <w:spacing w:line="276" w:lineRule="auto" w:after="80"/>
        <w:ind w:firstLine="0"/>
      </w:pPr>
      <w:r>
        <w:rPr>
          <w:rFonts w:ascii="Arial" w:hAnsi="Arial"/>
          <w:b w:val="0"/>
          <w:i w:val="0"/>
          <w:color w:val="000000"/>
          <w:sz w:val="22"/>
        </w:rPr>
        <w:t xml:space="preserve">The cross-organ and cross-brain-region analyses show CKI measuring functional differentiation across spatial scales, though the brain gradient, extended into neuronal superclasses (Results), is k_n-dominated rather than a pure functional-divergence ranking. The candidate screen reiterates that atlas-scale claims require design-respecting nulls (Results). Cross-species transfer remains unestablished (r = −0.17, P = 0.55; Supplementary Fig. 5) </w:t>
      </w:r>
      <w:r>
        <w:rPr>
          <w:rFonts w:ascii="Arial" w:hAnsi="Arial"/>
          <w:b w:val="0"/>
          <w:i w:val="0"/>
          <w:color w:val="000000"/>
          <w:sz w:val="22"/>
          <w:vertAlign w:val="superscript"/>
        </w:rPr>
        <w:t>39</w:t>
      </w:r>
      <w:r>
        <w:rPr>
          <w:rFonts w:ascii="Arial" w:hAnsi="Arial"/>
          <w:b w:val="0"/>
          <w:i w:val="0"/>
          <w:color w:val="000000"/>
          <w:sz w:val="22"/>
        </w:rPr>
        <w:t>.</w:t>
      </w:r>
    </w:p>
    <w:p>
      <w:pPr>
        <w:spacing w:line="276" w:lineRule="auto" w:after="80"/>
        <w:ind w:firstLine="0"/>
      </w:pPr>
      <w:r>
        <w:rPr>
          <w:rFonts w:ascii="Arial" w:hAnsi="Arial"/>
          <w:b w:val="0"/>
          <w:i w:val="0"/>
          <w:color w:val="000000"/>
          <w:sz w:val="22"/>
        </w:rPr>
        <w:t xml:space="preserve">Several signals are consistent with prior reports—literature anchoring, not independent validation. Maturation comparisons must use the k_f-only ordering, because the composite is k_n-dominated: under k_f alone committed OPCs rank highest (0.197) and OPCs lowest (0.048), consistent with regionally uniform early and region-enriched mature oligodendrocyte stages </w:t>
      </w:r>
      <w:r>
        <w:rPr>
          <w:rFonts w:ascii="Arial" w:hAnsi="Arial"/>
          <w:b w:val="0"/>
          <w:i w:val="0"/>
          <w:color w:val="000000"/>
          <w:sz w:val="22"/>
          <w:vertAlign w:val="superscript"/>
        </w:rPr>
        <w:t>40,41</w:t>
      </w:r>
      <w:r>
        <w:rPr>
          <w:rFonts w:ascii="Arial" w:hAnsi="Arial"/>
          <w:b w:val="0"/>
          <w:i w:val="0"/>
          <w:color w:val="000000"/>
          <w:sz w:val="22"/>
        </w:rPr>
        <w:t xml:space="preserve">; neither ordering supports a monotone-maturation reading. The thalamo-temporal orientation of mature-oligodendrocyte candidates matches forebrain oligodendrocyte development </w:t>
      </w:r>
      <w:r>
        <w:rPr>
          <w:rFonts w:ascii="Arial" w:hAnsi="Arial"/>
          <w:b w:val="0"/>
          <w:i w:val="0"/>
          <w:color w:val="000000"/>
          <w:sz w:val="22"/>
          <w:vertAlign w:val="superscript"/>
        </w:rPr>
        <w:t>25</w:t>
      </w:r>
      <w:r>
        <w:rPr>
          <w:rFonts w:ascii="Arial" w:hAnsi="Arial"/>
          <w:b w:val="0"/>
          <w:i w:val="0"/>
          <w:color w:val="000000"/>
          <w:sz w:val="22"/>
        </w:rPr>
        <w:t xml:space="preserve"> at the axis-anatomy level only. k_f also recapitulated Cell Ontology lineage distance in two independent atlases (both permutation P = 1.0 × 10⁻⁴; Supplementary Note 17; Supplementary Fig. 9), unlike k_n or ω. External disease anchors behave directionally but sub-threshold: in SEA-AD, pan-reactive-astrocyte and disease-associated-microglia sets elevate ω in high-ADNC donors (P = 0.015/0.041, negative controls at the null, minimum q = 0.145), and no Hallmark program concentrates the signal (0 of 400; Supplementary Note 19; Supplementary Fig. 7; Supplementary Table 14).</w:t>
      </w:r>
    </w:p>
    <w:p>
      <w:pPr>
        <w:spacing w:line="276" w:lineRule="auto" w:after="80"/>
        <w:ind w:firstLine="0"/>
      </w:pPr>
      <w:r>
        <w:rPr>
          <w:rFonts w:ascii="Arial" w:hAnsi="Arial"/>
          <w:b w:val="0"/>
          <w:i w:val="0"/>
          <w:color w:val="000000"/>
          <w:sz w:val="22"/>
        </w:rPr>
        <w:t xml:space="preserve">CKI and standard metrics answer different questions; practical rules follow. Use CKI for relative questions—does functional divergence exceed the pair’s own housekeeping-baseline variation, within the same dataset and gene-selection scheme?—offering a normalized scale and a specificity-first screen: a significant ω rejects label exchangeability under a design-matched null, and anchor-moving signal is invisible to ω (ref. </w:t>
      </w:r>
      <w:r>
        <w:rPr>
          <w:rFonts w:ascii="Arial" w:hAnsi="Arial"/>
          <w:b w:val="0"/>
          <w:i w:val="0"/>
          <w:color w:val="000000"/>
          <w:sz w:val="22"/>
          <w:vertAlign w:val="superscript"/>
        </w:rPr>
        <w:t>14</w:t>
      </w:r>
      <w:r>
        <w:rPr>
          <w:rFonts w:ascii="Arial" w:hAnsi="Arial"/>
          <w:b w:val="0"/>
          <w:i w:val="0"/>
          <w:color w:val="000000"/>
          <w:sz w:val="22"/>
        </w:rPr>
        <w:t>; Results). Before trusting fine-grained ω orderings, diagnose the denominator: if k_n lies in the extreme tail of its own null or correlates with technical covariates, report k_f with the design-matched null directly (ω orderings here were denominator-driven; Supplementary Note 5). Use standard metrics for absolute cross-dataset distances, classification, weak-to-moderate effects at atlas scale, or a suspect baseline (then report k_n and k_f separately).</w:t>
      </w:r>
    </w:p>
    <w:p>
      <w:pPr>
        <w:spacing w:line="276" w:lineRule="auto" w:after="80"/>
        <w:ind w:firstLine="0"/>
      </w:pPr>
      <w:r>
        <w:rPr>
          <w:rFonts w:ascii="Arial" w:hAnsi="Arial"/>
          <w:b w:val="0"/>
          <w:i w:val="0"/>
          <w:color w:val="000000"/>
          <w:sz w:val="22"/>
        </w:rPr>
        <w:t>For prospective applications we recommend: (i) at least ~100 cells per group (operating window ~50–200, inside which power already erodes; Section 3.11; Supplementary Table 2b); (ii) the pre-specified HRT Atlas v1.0 housekeeping panel (cki/data/hrt_atlas.csv) rather than data-driven auto-detection; (iii) comparisons only within the same dataset and scheme, interpreting ω against a split-half internal baseline, not the mouse-derived 7.70—absolute ω does not transfer; (iv) a permutation null matching the experimental design (block-shuffle where libraries or donors define blocks; cki.blocknull.block_shuffle_test).</w:t>
      </w:r>
    </w:p>
    <w:p>
      <w:pPr>
        <w:spacing w:line="276" w:lineRule="auto" w:after="80"/>
        <w:ind w:firstLine="0"/>
      </w:pPr>
      <w:r>
        <w:rPr>
          <w:rFonts w:ascii="Arial" w:hAnsi="Arial"/>
          <w:b w:val="0"/>
          <w:i w:val="0"/>
          <w:color w:val="000000"/>
          <w:sz w:val="22"/>
        </w:rPr>
        <w:t xml:space="preserve">Limitations. Several boundaries delimit where ω can fire. (i) Scope: CKI detects state changes within a given cell type, not cell-type identity, and operates at the pseudobulk level; because the housekeeping anchor is cell-type-specific, k_n is comparable only within the same cell type, so limited cross-type discrimination is expected by design. (ii) Gene-set definition and calibration: the per-pair k_f scheme selects genes by the observed difference itself, so k_f magnitudes exceed non-circular panel values (median 1.61-fold) and tier thresholds are scheme-specific; housekeeping expression may be dysregulated in cancer </w:t>
      </w:r>
      <w:r>
        <w:rPr>
          <w:rFonts w:ascii="Arial" w:hAnsi="Arial"/>
          <w:b w:val="0"/>
          <w:i w:val="0"/>
          <w:color w:val="000000"/>
          <w:sz w:val="22"/>
          <w:vertAlign w:val="superscript"/>
        </w:rPr>
        <w:t>38</w:t>
      </w:r>
      <w:r>
        <w:rPr>
          <w:rFonts w:ascii="Arial" w:hAnsi="Arial"/>
          <w:b w:val="0"/>
          <w:i w:val="0"/>
          <w:color w:val="000000"/>
          <w:sz w:val="22"/>
        </w:rPr>
        <w:t>; and the empirical calibration factor (7.70, 95% CI [6.38, 9.82]) derives from mouse split-half controls, so absolute ω does not transfer across datasets. (iii) Data and design: the TCGA analysis is limited to bulk resolution, its per-cancer permutation test holds the identity panel fixed (anti-conservative), and five cancer types make the results exploratory; the brain atlas uses post-mortem tissue—detection-depth, UMI, and mitochondrial-fraction proxies do not drive the gradient (Results) but cannot exclude PMI-related RNA-degradation deformation. (iv) Anchor visibility: ω is structurally insensitive to perturbations that move the housekeeping anchor itself—in simulation the ratio collapsed at 500 shifted genes (AUC 0.05–0.13)—and permutation power vanishes beyond ~500 cells per group, bounding the operating window at ~50–200 cells; the scDist results used a Python approximation and should be re-verified against the R original. (v) Multiple testing and cluster-aware inference: the class-level upper-tail tests and the pair-level lower-tail screen are reported without joint cross-family correction; the block-shuffle null assumes libraries are otherwise exchangeable (bounded by the pseudo-region negative control; Supplementary Note 12); candidate tiers and per-pair P-values are monotone in the same ω, not independent evidence (Supplementary Note 14), and the catalogue is estimator-sensitive (3 of 39 Strong retained under a global-k_n switch); and B = 1,000 bounds the resolvable P-value at 9.99 × 10⁻⁴, so the per-pair FDR outcome (minimum q = 0.520) reflects permutation resolution, not evidence against candidates. (vi) Theory: the framework of Supplementary Note 20 is scoped—exact at the k_n scale, approximate at the k_f scale, and conditional on the stated generative model. Full treatments: Supplementary Notes 1–20.</w:t>
      </w:r>
    </w:p>
    <w:p>
      <w:pPr>
        <w:spacing w:line="276" w:lineRule="auto" w:after="80"/>
        <w:ind w:firstLine="0"/>
      </w:pPr>
      <w:r>
        <w:rPr>
          <w:rFonts w:ascii="Arial" w:hAnsi="Arial"/>
          <w:b w:val="0"/>
          <w:i w:val="0"/>
          <w:color w:val="000000"/>
          <w:sz w:val="22"/>
        </w:rPr>
        <w:t>CKI adapts the baseline-normalization logic of Ka/Ks to single-cell transcriptomics, decomposing population divergence into a housekeeping baseline rate (k_n) and an identity-gene functional rate (k_f). Across simulation, calibration, cross-organ, pan-cancer, and brain-regional analyses, ω rankings carried reproducible biological signal while absolute ω values remain scheme- and dataset-specific; statistical claims at atlas scale require nulls respecting the experimental design; and the absence of FDR-significant candidates is itself an informative bound on what adult transcriptomes alone can support. Released as an open-source Python package with a fully reproducible pipeline, CKI offers an interpretable complement to standard distance metrics, with applications across developmental biology, drug response, aging, and evolutionary cell biology.</w:t>
      </w:r>
    </w:p>
    <w:p>
      <w:pPr>
        <w:pStyle w:val="Heading1"/>
        <w:spacing w:before="420" w:after="160"/>
      </w:pPr>
      <w:r>
        <w:rPr>
          <w:rFonts w:ascii="Arial" w:hAnsi="Arial"/>
          <w:color w:val="000000"/>
          <w:sz w:val="28"/>
          <w:b/>
        </w:rPr>
        <w:t>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 xml:space="preserve">We normalize raw count matrices to 10,000 counts per cell and apply log1p transformation </w:t>
      </w:r>
      <w:r>
        <w:rPr>
          <w:rFonts w:ascii="Arial" w:hAnsi="Arial"/>
          <w:b w:val="0"/>
          <w:i w:val="0"/>
          <w:color w:val="000000"/>
          <w:sz w:val="22"/>
          <w:vertAlign w:val="superscript"/>
        </w:rPr>
        <w:t>42</w:t>
      </w:r>
      <w:r>
        <w:rPr>
          <w:rFonts w:ascii="Arial" w:hAnsi="Arial"/>
          <w:b w:val="0"/>
          <w:i w:val="0"/>
          <w:color w:val="000000"/>
          <w:sz w:val="22"/>
        </w:rPr>
        <w:t xml:space="preserve">. Pseudobulk vectors average expression across cells sharing the same cell-type annotation (≥ 20 cells per entry, ≥ 1 donor/mouse contributing ≥ 10 cells). Housekeeping (HK) genes are loaded from HRT Atlas v1.0 </w:t>
      </w:r>
      <w:r>
        <w:rPr>
          <w:rFonts w:ascii="Arial" w:hAnsi="Arial"/>
          <w:b w:val="0"/>
          <w:i w:val="0"/>
          <w:color w:val="000000"/>
          <w:sz w:val="22"/>
          <w:vertAlign w:val="superscript"/>
        </w:rPr>
        <w:t>13</w:t>
      </w:r>
      <w:r>
        <w:rPr>
          <w:rFonts w:ascii="Arial" w:hAnsi="Arial"/>
          <w:b w:val="0"/>
          <w:i w:val="0"/>
          <w:color w:val="000000"/>
          <w:sz w:val="22"/>
        </w:rPr>
        <w:t xml:space="preserve"> (1,130 human-mouse conserved genes; species-appropriate column per dataset); all reported analyses use this pre-specified reference rather than data-driven auto-detection (Supplementary Methods 5.1).</w:t>
      </w:r>
    </w:p>
    <w:p>
      <w:pPr>
        <w:spacing w:line="276" w:lineRule="auto" w:after="80"/>
        <w:ind w:firstLine="0"/>
      </w:pPr>
      <w:r>
        <w:rPr>
          <w:rFonts w:ascii="Arial" w:hAnsi="Arial"/>
          <w:b w:val="0"/>
          <w:i w:val="0"/>
          <w:color w:val="000000"/>
          <w:sz w:val="22"/>
        </w:rPr>
        <w:t xml:space="preserve">For populations A and B with pseudobulk vectors ε_A and ε_B, each vector is normalized to a probability distribution before Jensen–Shannon (JS) divergence computation by a softmax over log-transformed values, which in count space is exactly a +1 pseudo-count followed by L1 normalization: p_i = (c_i + 1)/Σ_j(c_j + 1). Aggregation order differs across pipelines (brain: softmax(log1p(mean counts)); mouse and human pilots: softmax(mean(log1p))), and calibration constants are pipeline-internal and must not be transferred across pipelines (same-data sensitivity analysis in Supplementary Methods 5.1). Then k_n = JS(norm(ε_A[H]), norm(ε_B[H])) over HK gene indices H; k_f = JS(norm(ε_A[I]), norm(ε_B[I])) over the identity-gene set I (top-2,000 HVGs, Seurat flavor, HK excluded, for the full matrix; per-pair top-200 otherwise); ω = k_f/k_n, with JS divergence </w:t>
      </w:r>
      <w:r>
        <w:rPr>
          <w:rFonts w:ascii="Arial" w:hAnsi="Arial"/>
          <w:b w:val="0"/>
          <w:i w:val="0"/>
          <w:color w:val="000000"/>
          <w:sz w:val="22"/>
          <w:vertAlign w:val="superscript"/>
        </w:rPr>
        <w:t>43</w:t>
      </w:r>
      <w:r>
        <w:rPr>
          <w:rFonts w:ascii="Arial" w:hAnsi="Arial"/>
          <w:b w:val="0"/>
          <w:i w:val="0"/>
          <w:color w:val="000000"/>
          <w:sz w:val="22"/>
        </w:rPr>
        <w:t xml:space="preserve"> using base-2 logarithm (range [0, 1]). An optional denominator floor guards against near-zero k_n; all single-cell analyses apply only the positivity guard (kn_floor = 0; no reported single-cell ω was capped), while the TCGA bulk analysis applies kn_floor = 1 × 10⁻⁴. Because the softmax mapping applied to log2(TPM + 1) implies an undisclosed power transformation, every TCGA analysis was recomputed with the linear normalization p_i = (TPM + 1)/Σ_j(TPM_j + 1), with all qualitative conclusions unchanged (Supplementary Methods 5.1).</w:t>
      </w:r>
    </w:p>
    <w:p>
      <w:pPr>
        <w:spacing w:line="276" w:lineRule="auto" w:after="80"/>
        <w:ind w:firstLine="0"/>
      </w:pPr>
      <w:r>
        <w:rPr>
          <w:rFonts w:ascii="Arial" w:hAnsi="Arial"/>
          <w:b w:val="0"/>
          <w:i w:val="0"/>
          <w:color w:val="000000"/>
          <w:sz w:val="22"/>
        </w:rPr>
        <w:t>Package parity: all hybrid-scheme analyses reported here select each pair’s k_f genes as the top-200 by absolute pseudobulk difference (func_method = "pairwise_absdiff" in package v0.5.6); the package’s default permutation test re-selects the k_f set at every permutation under the same per-pair rule (reselect_identity = True), the legacy fixed-set null being anti-conservative (Supplementary Methods 5.1).</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genes, we verified that JS divergence is not systematically biased by gene-set dimensionality (2,000 random Dirichlet pairs across dimensions 50–5,000: mean JS 0.155–0.159, ratio 1.001 between d = 1,130 and d = 2,000; Supplementary Fig. 1; Supplementary Note 16); the systematic inflation of k_f over k_n thus arises from HVG selection bias, which the empirical calibration absorbs (Supplementary Methods 5.1).</w:t>
      </w:r>
    </w:p>
    <w:p>
      <w:pPr>
        <w:pStyle w:val="Heading2"/>
        <w:spacing w:before="420" w:after="160"/>
      </w:pPr>
      <w:r>
        <w:rPr>
          <w:rFonts w:ascii="Arial" w:hAnsi="Arial"/>
          <w:color w:val="000000"/>
          <w:sz w:val="24"/>
          <w:b/>
        </w:rPr>
        <w:t>Permutation test</w:t>
      </w:r>
    </w:p>
    <w:p>
      <w:pPr>
        <w:spacing w:line="276" w:lineRule="auto" w:after="80"/>
        <w:ind w:firstLine="0"/>
      </w:pPr>
      <w:r>
        <w:rPr>
          <w:rFonts w:ascii="Arial" w:hAnsi="Arial"/>
          <w:b w:val="0"/>
          <w:i w:val="0"/>
          <w:color w:val="000000"/>
          <w:sz w:val="22"/>
        </w:rPr>
        <w:t xml:space="preserve">Statistical significance was assessed with permutation tests whose exchangeability unit and gene-selection handling follow each dataset’s structure. For the mouse pilot, Tabula Sapiens, and TCGA, labels were permuted between groups (B = 1,000), pseudobulks recomputed, and ω recalculated under the same per-pair gene-selection procedure as the observed value, so the null incorporates gene selection. The TCGA per-cancer test additionally holds the identity panel fixed (anti-conservative; the corresponding P &gt; 0.9 values are uninformative at the aggregate level because aggregate k_n sits at the denominator floor in 3 of 5 cancer types, and the reversal claim rests on the pair-level cluster bootstrap; Supplementary Methods 5.2). For the brain, the authoritative null is the block-shuffle permutation below. Empirical P-values are one-sided, P = (count(ω_null ≥ ω_obs) + 1)/(B + 1) (lower tail for the brain per-pair screen), standardized effect size SES = (ω_obs − mean(ω_null))/sd(ω_null) is reported as a descriptive complement, and Benjamini-Hochberg FDR </w:t>
      </w:r>
      <w:r>
        <w:rPr>
          <w:rFonts w:ascii="Arial" w:hAnsi="Arial"/>
          <w:b w:val="0"/>
          <w:i w:val="0"/>
          <w:color w:val="000000"/>
          <w:sz w:val="22"/>
          <w:vertAlign w:val="superscript"/>
        </w:rPr>
        <w:t>44</w:t>
      </w:r>
      <w:r>
        <w:rPr>
          <w:rFonts w:ascii="Arial" w:hAnsi="Arial"/>
          <w:b w:val="0"/>
          <w:i w:val="0"/>
          <w:color w:val="000000"/>
          <w:sz w:val="22"/>
        </w:rPr>
        <w:t xml:space="preserve"> is applied within each dataset.</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 xml:space="preserve">Tabula Muris FACS SmartSeq2 </w:t>
      </w:r>
      <w:r>
        <w:rPr>
          <w:rFonts w:ascii="Arial" w:hAnsi="Arial"/>
          <w:b w:val="0"/>
          <w:i w:val="0"/>
          <w:color w:val="000000"/>
          <w:sz w:val="22"/>
          <w:vertAlign w:val="superscript"/>
        </w:rPr>
        <w:t>8</w:t>
      </w:r>
      <w:r>
        <w:rPr>
          <w:rFonts w:ascii="Arial" w:hAnsi="Arial"/>
          <w:b w:val="0"/>
          <w:i w:val="0"/>
          <w:color w:val="000000"/>
          <w:sz w:val="22"/>
        </w:rPr>
        <w:t xml:space="preserve">: 15,057 cells, 22,308 genes, 6 organs; post-QC 38 cell-type entries, yielding C(38, 2) = 703 analyzed pairs. HVGs: scanpy </w:t>
      </w:r>
      <w:r>
        <w:rPr>
          <w:rFonts w:ascii="Arial" w:hAnsi="Arial"/>
          <w:b w:val="0"/>
          <w:i w:val="0"/>
          <w:color w:val="000000"/>
          <w:sz w:val="22"/>
          <w:vertAlign w:val="superscript"/>
        </w:rPr>
        <w:t>45</w:t>
      </w:r>
      <w:r>
        <w:rPr>
          <w:rFonts w:ascii="Arial" w:hAnsi="Arial"/>
          <w:b w:val="0"/>
          <w:i w:val="0"/>
          <w:color w:val="000000"/>
          <w:sz w:val="22"/>
        </w:rPr>
        <w:t xml:space="preserve"> flavor="seurat" </w:t>
      </w:r>
      <w:r>
        <w:rPr>
          <w:rFonts w:ascii="Arial" w:hAnsi="Arial"/>
          <w:b w:val="0"/>
          <w:i w:val="0"/>
          <w:color w:val="000000"/>
          <w:sz w:val="22"/>
          <w:vertAlign w:val="superscript"/>
        </w:rPr>
        <w:t>46,47</w:t>
      </w:r>
      <w:r>
        <w:rPr>
          <w:rFonts w:ascii="Arial" w:hAnsi="Arial"/>
          <w:b w:val="0"/>
          <w:i w:val="0"/>
          <w:color w:val="000000"/>
          <w:sz w:val="22"/>
        </w:rPr>
        <w:t>, n_top_genes=2,000.</w:t>
      </w:r>
    </w:p>
    <w:p>
      <w:pPr>
        <w:spacing w:line="276" w:lineRule="auto" w:after="80"/>
        <w:ind w:firstLine="0"/>
      </w:pPr>
      <w:r>
        <w:rPr>
          <w:rFonts w:ascii="Arial" w:hAnsi="Arial"/>
          <w:b w:val="0"/>
          <w:i w:val="0"/>
          <w:color w:val="000000"/>
          <w:sz w:val="22"/>
        </w:rPr>
        <w:t xml:space="preserve">Tabula Sapiens v1.0 </w:t>
      </w:r>
      <w:r>
        <w:rPr>
          <w:rFonts w:ascii="Arial" w:hAnsi="Arial"/>
          <w:b w:val="0"/>
          <w:i w:val="0"/>
          <w:color w:val="000000"/>
          <w:sz w:val="22"/>
          <w:vertAlign w:val="superscript"/>
        </w:rPr>
        <w:t>9</w:t>
      </w:r>
      <w:r>
        <w:rPr>
          <w:rFonts w:ascii="Arial" w:hAnsi="Arial"/>
          <w:b w:val="0"/>
          <w:i w:val="0"/>
          <w:color w:val="000000"/>
          <w:sz w:val="22"/>
        </w:rPr>
        <w:t xml:space="preserve"> via CZ CELLxGENE Discover </w:t>
      </w:r>
      <w:r>
        <w:rPr>
          <w:rFonts w:ascii="Arial" w:hAnsi="Arial"/>
          <w:b w:val="0"/>
          <w:i w:val="0"/>
          <w:color w:val="000000"/>
          <w:sz w:val="22"/>
          <w:vertAlign w:val="superscript"/>
        </w:rPr>
        <w:t>48</w:t>
      </w:r>
      <w:r>
        <w:rPr>
          <w:rFonts w:ascii="Arial" w:hAnsi="Arial"/>
          <w:b w:val="0"/>
          <w:i w:val="0"/>
          <w:color w:val="000000"/>
          <w:sz w:val="22"/>
        </w:rPr>
        <w:t>: post-QC 108,136 cells, 51,852 genes, 102 cell-type entries across 6 organs; 99 entries passed the pairwise-analysis filters, yielding 4,851 analyzed pairs. HK genes: HRT Atlas v1.0 (1,130 genes; human column).</w:t>
      </w:r>
    </w:p>
    <w:p>
      <w:pPr>
        <w:spacing w:line="276" w:lineRule="auto" w:after="80"/>
        <w:ind w:firstLine="0"/>
      </w:pPr>
      <w:r>
        <w:rPr>
          <w:rFonts w:ascii="Arial" w:hAnsi="Arial"/>
          <w:b w:val="0"/>
          <w:i w:val="0"/>
          <w:color w:val="000000"/>
          <w:sz w:val="22"/>
        </w:rPr>
        <w:t xml:space="preserve">TCGA bulk RNA-seq </w:t>
      </w:r>
      <w:r>
        <w:rPr>
          <w:rFonts w:ascii="Arial" w:hAnsi="Arial"/>
          <w:b w:val="0"/>
          <w:i w:val="0"/>
          <w:color w:val="000000"/>
          <w:sz w:val="22"/>
          <w:vertAlign w:val="superscript"/>
        </w:rPr>
        <w:t>49</w:t>
      </w:r>
      <w:r>
        <w:rPr>
          <w:rFonts w:ascii="Arial" w:hAnsi="Arial"/>
          <w:b w:val="0"/>
          <w:i w:val="0"/>
          <w:color w:val="000000"/>
          <w:sz w:val="22"/>
        </w:rPr>
        <w:t xml:space="preserve">: five cancer types from NCI Genomic Data Commons via TCGAbiolinks </w:t>
      </w:r>
      <w:r>
        <w:rPr>
          <w:rFonts w:ascii="Arial" w:hAnsi="Arial"/>
          <w:b w:val="0"/>
          <w:i w:val="0"/>
          <w:color w:val="000000"/>
          <w:sz w:val="22"/>
          <w:vertAlign w:val="superscript"/>
        </w:rPr>
        <w:t>50</w:t>
      </w:r>
      <w:r>
        <w:rPr>
          <w:rFonts w:ascii="Arial" w:hAnsi="Arial"/>
          <w:b w:val="0"/>
          <w:i w:val="0"/>
          <w:color w:val="000000"/>
          <w:sz w:val="22"/>
        </w:rPr>
        <w:t xml:space="preserve"> and cBioPortal </w:t>
      </w:r>
      <w:r>
        <w:rPr>
          <w:rFonts w:ascii="Arial" w:hAnsi="Arial"/>
          <w:b w:val="0"/>
          <w:i w:val="0"/>
          <w:color w:val="000000"/>
          <w:sz w:val="22"/>
          <w:vertAlign w:val="superscript"/>
        </w:rPr>
        <w:t>51</w:t>
      </w:r>
      <w:r>
        <w:rPr>
          <w:rFonts w:ascii="Arial" w:hAnsi="Arial"/>
          <w:b w:val="0"/>
          <w:i w:val="0"/>
          <w:color w:val="000000"/>
          <w:sz w:val="22"/>
        </w:rPr>
        <w:t xml:space="preserve">: LUAD 493 tumor + 76 normal; LUSC 534 + 58; LIHC 398 + 57; KIRC 750 + 82; BRCA 1,010 + 109 (3,567 samples, of which 3,535 enter the pair-level analysis after the barcode-audit exclusion below; all 32 excluded cell-line aliquots are LIHC tumors, leaving 366). TPM values from UCSC Xena were filtered (mean ≥ 0.5 TPM within cancer type) and log2(TPM + 1) transformed. BRCA PAM50 subtypes </w:t>
      </w:r>
      <w:r>
        <w:rPr>
          <w:rFonts w:ascii="Arial" w:hAnsi="Arial"/>
          <w:b w:val="0"/>
          <w:i w:val="0"/>
          <w:color w:val="000000"/>
          <w:sz w:val="22"/>
          <w:vertAlign w:val="superscript"/>
        </w:rPr>
        <w:t>52,53</w:t>
      </w:r>
      <w:r>
        <w:rPr>
          <w:rFonts w:ascii="Arial" w:hAnsi="Arial"/>
          <w:b w:val="0"/>
          <w:i w:val="0"/>
          <w:color w:val="000000"/>
          <w:sz w:val="22"/>
        </w:rPr>
        <w:t xml:space="preserve"> (522 samples), LIHC Edmondson grade </w:t>
      </w:r>
      <w:r>
        <w:rPr>
          <w:rFonts w:ascii="Arial" w:hAnsi="Arial"/>
          <w:b w:val="0"/>
          <w:i w:val="0"/>
          <w:color w:val="000000"/>
          <w:sz w:val="22"/>
          <w:vertAlign w:val="superscript"/>
        </w:rPr>
        <w:t>54</w:t>
      </w:r>
      <w:r>
        <w:rPr>
          <w:rFonts w:ascii="Arial" w:hAnsi="Arial"/>
          <w:b w:val="0"/>
          <w:i w:val="0"/>
          <w:color w:val="000000"/>
          <w:sz w:val="22"/>
        </w:rPr>
        <w:t xml:space="preserve"> (372 patients with calls), and LUAD mutation calls (492 samples: 61 EGFR, 120 KRAS, 311 WT) were retrieved from cBioPortal; the 32 cell-line-derived LIHC samples shipped in the LUSC matrix were excluded after a barcode audit (Supplementary Methods 5.3).</w:t>
      </w:r>
    </w:p>
    <w:p>
      <w:pPr>
        <w:spacing w:line="276" w:lineRule="auto" w:after="80"/>
        <w:ind w:firstLine="0"/>
      </w:pPr>
      <w:r>
        <w:rPr>
          <w:rFonts w:ascii="Arial" w:hAnsi="Arial"/>
          <w:b w:val="0"/>
          <w:i w:val="0"/>
          <w:color w:val="000000"/>
          <w:sz w:val="22"/>
        </w:rPr>
        <w:t xml:space="preserve">Human brain atlas </w:t>
      </w:r>
      <w:r>
        <w:rPr>
          <w:rFonts w:ascii="Arial" w:hAnsi="Arial"/>
          <w:b w:val="0"/>
          <w:i w:val="0"/>
          <w:color w:val="000000"/>
          <w:sz w:val="22"/>
          <w:vertAlign w:val="superscript"/>
        </w:rPr>
        <w:t>12</w:t>
      </w:r>
      <w:r>
        <w:rPr>
          <w:rFonts w:ascii="Arial" w:hAnsi="Arial"/>
          <w:b w:val="0"/>
          <w:i w:val="0"/>
          <w:color w:val="000000"/>
          <w:sz w:val="22"/>
        </w:rPr>
        <w:t xml:space="preserve">: Siletti et al. (2023) single-nucleus RNA-seq (v3.11) from CZ CELLxGENE Discover </w:t>
      </w:r>
      <w:r>
        <w:rPr>
          <w:rFonts w:ascii="Arial" w:hAnsi="Arial"/>
          <w:b w:val="0"/>
          <w:i w:val="0"/>
          <w:color w:val="000000"/>
          <w:sz w:val="22"/>
          <w:vertAlign w:val="superscript"/>
        </w:rPr>
        <w:t>48</w:t>
      </w:r>
      <w:r>
        <w:rPr>
          <w:rFonts w:ascii="Arial" w:hAnsi="Arial"/>
          <w:b w:val="0"/>
          <w:i w:val="0"/>
          <w:color w:val="000000"/>
          <w:sz w:val="22"/>
        </w:rPr>
        <w:t>, Nonneurons.h5ad (888,263 nuclei, 59,480 genes, 108 regions) in 10 supercluster_term classes; after filtering (≥ 20 nuclei per (region, cell_type) group, ≥ 50 per region), 886,808 nuclei contributed (per-class counts in Supplementary Methods 5.4). Pseudobulks are cell-count-weighted means of per-library mean expression per group, normalized (target_sum = 10,000) and log1p-transformed at the pseudobulk level; ω was computed for all same-cell-type cross-region pairs (31,764) with the hybrid scheme (HK: 1,115 HRT Atlas genes matched to the Siletti annotation; per-pair top-200 selection within a pre-filtered pool of 5,000 non-HK genes with highest mean expression).</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pairs: CKI ω (hybrid scheme), raw JS divergence (all genes), Spearman distance (1 − ρ), cosine distance (1 − cos θ), and marker Jaccard distance (1 − Jaccard index of top-200 expressed genes); one pseudobulk per cell-type entry from its largest donor, and inter-metric Spearman correlations via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a multiplicative model detects (cell_type, region_pair) combinations with anomalously low ω: expected_ω = μ_ct × μ_pair / μ_grand, with μ_ct the cell type’s global mean ω, μ_pair the region pair’s mean ω, and μ_grand the global mean over all 31,764 pairs (38.55); the residual = observed/expected, with tiers Strong (residual &lt; 0.3, ω &lt; 15, lowest ω in the pair), Moderate (&lt; 0.5, ω &lt; 25), Weak (&lt; 0.75, ω &lt; 35). Significance uses a block-shuffle null preserving the joint cell-type × region design: 10x libraries (sample_id) are blocks whose sample-to-region assignment is permuted (preserving per-region library counts), after which region pseudobulks, all pair ω values, and residuals are recomputed—retaining library-level structure while breaking the cell–region association (B = 1,000; minimum resolvable P ≈ 9.99 × 10⁻⁴). Per-pair P-values use the one-sided lower tail (upper tail reported complementarily), with Benjamini-Hochberg FDR across m = 31,764 pairs; q &lt; 0.05 would require B ≈ 6 × 10⁵ permutations, so the per-pair FDR outcome reflects permutation resolution rather than evidence against candidates (Statistics and reproducibility). A cell-type-level test asks whether regional structure raises a class’s mean ω (one-sided upper tail), and a pseudo-region negative control re-ran the identical test on 127,756 pseudo-pairs (Supplementary Note 12; full design in Supplementary Methods 5.6).</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Robustness analyses (brain; full designs in Supplementary Methods 5.7). Donor confounding: cross-region ω was recomputed using only same-donor (donor, region) pseudobulk pairs (94.5% of region pairs share at least one donor). k_n estimator sensitivity: four aggregation schemes (per-pair, aggregate-first, global-k_n, k_f-only/k_n-only orderings) were compared by Spearman correlation of the ten class means. Scheme-matched split-half calibration: the random-split calibration was repeated inside the brain atlas (29 populations, B = 50 splits) and Tabula Sapiens (71 populations, B = 50) with each dataset’s own pipeline. Lineage enrichment and tier sensitivity: hypergeometric test over 31,764 pairs (12,775 oligodendrocyte-lineage), corroborated by permutation (B = 100,000), over a grid of tier thresholds. Class-size confounding: class-mean k_n and ω were tested against class size and detection depth, an equal-n control downsampled every class to 4,118 nuclei (20 replicates), and the landscape recomputed at group-size thresholds 10/50/100. A combined span- and size-matched control downsamples classes within the 21 intra-cerebellar pairs (target 7,965 nuclei, 20 replicates). RNA-quality proxies: per-pair OLS of log10(k_n/k_f/ω) on detected genes, total UMI, and mitochondrial fraction at (class, library) and (class, region) levels.</w:t>
      </w:r>
    </w:p>
    <w:p>
      <w:pPr>
        <w:spacing w:line="276" w:lineRule="auto" w:after="80"/>
        <w:ind w:firstLine="0"/>
      </w:pPr>
      <w:r>
        <w:rPr>
          <w:rFonts w:ascii="Arial" w:hAnsi="Arial"/>
          <w:b w:val="0"/>
          <w:i w:val="0"/>
          <w:color w:val="000000"/>
          <w:sz w:val="22"/>
        </w:rPr>
        <w:t>Donor-stratified null (brain). The class-level permutation test was re-run with shuffles restricted within donors (B = 1,000; identical pipeline), preserving each donor’s library counts and per-region block structure; single-library donor blocks were held fixed and identity assignments retained as valid draws. The donor-stratified null is strictly the more conservative test; accompanying free-null P-values come from an independent Monte-Carlo re-run, so small differences from the primary analysis reflect Monte-Carlo variability (values in Supplementary Methods 5.7).</w:t>
      </w:r>
    </w:p>
    <w:p>
      <w:pPr>
        <w:pStyle w:val="Heading2"/>
        <w:spacing w:before="420" w:after="160"/>
      </w:pPr>
      <w:r>
        <w:rPr>
          <w:rFonts w:ascii="Arial" w:hAnsi="Arial"/>
          <w:color w:val="000000"/>
          <w:sz w:val="24"/>
          <w:b/>
        </w:rPr>
        <w:t>Ground-truth simulation</w:t>
      </w:r>
    </w:p>
    <w:p>
      <w:pPr>
        <w:spacing w:line="276" w:lineRule="auto" w:after="80"/>
        <w:ind w:firstLine="0"/>
      </w:pPr>
      <w:r>
        <w:rPr>
          <w:rFonts w:ascii="Arial" w:hAnsi="Arial"/>
          <w:b w:val="0"/>
          <w:i w:val="0"/>
          <w:color w:val="000000"/>
          <w:sz w:val="22"/>
        </w:rPr>
        <w:t>To measure specificity and sensitivity against a known ground truth, perturbations of known magnitude were injected into a real background (Tabula Muris FACS marrow B cells, 1,848 cells; gene set: 1,064 matched HK genes plus the 5,000 highest-mean non-HK genes). Each replicate resampled two groups of 200 cells; functional signal was a multiplicative 2^δ shift (δ = 0.125–2) on a fixed 200-gene non-HK module in group B; neutral perturbations were 2^η shifts (η = 0.25–1) on HK genes or Poisson noise (ε = 0.3–1) in group A. Six metrics were computed per replicate with the brain code path; detection thresholds were calibrated per metric as the 95th percentile of 200 baseline replicates; signal scenarios used three module seeds (42, 137, 2024); robustness scenarios (30% dropout, twofold depth, fourfold imbalance) and module sizes (m = 50, 200, 500) were run at δ = 0.25 and 1. The design was repeated in a second background (skin keratinocyte stem cells, 1,371 cells; 1,750 replicates per background). Full design and results: Supplementary Note 1 and Supplementary Methods 5.8.</w:t>
      </w:r>
    </w:p>
    <w:p>
      <w:pPr>
        <w:pStyle w:val="Heading2"/>
        <w:spacing w:before="420" w:after="160"/>
      </w:pPr>
      <w:r>
        <w:rPr>
          <w:rFonts w:ascii="Arial" w:hAnsi="Arial"/>
          <w:color w:val="000000"/>
          <w:sz w:val="24"/>
          <w:b/>
        </w:rPr>
        <w:t>Perturbation demonstration (IFN-β PBMC)</w:t>
      </w:r>
    </w:p>
    <w:p>
      <w:pPr>
        <w:spacing w:line="276" w:lineRule="auto" w:after="80"/>
        <w:ind w:firstLine="0"/>
      </w:pPr>
      <w:r>
        <w:rPr>
          <w:rFonts w:ascii="Arial" w:hAnsi="Arial"/>
          <w:b w:val="0"/>
          <w:i w:val="0"/>
          <w:color w:val="000000"/>
          <w:sz w:val="22"/>
        </w:rPr>
        <w:t xml:space="preserve">For a real perturbation with known ground truth, we re-analyzed the droplet arm of Kang et al. </w:t>
      </w:r>
      <w:r>
        <w:rPr>
          <w:rFonts w:ascii="Arial" w:hAnsi="Arial"/>
          <w:b w:val="0"/>
          <w:i w:val="0"/>
          <w:color w:val="000000"/>
          <w:sz w:val="22"/>
          <w:vertAlign w:val="superscript"/>
        </w:rPr>
        <w:t>14</w:t>
      </w:r>
      <w:r>
        <w:rPr>
          <w:rFonts w:ascii="Arial" w:hAnsi="Arial"/>
          <w:b w:val="0"/>
          <w:i w:val="0"/>
          <w:color w:val="000000"/>
          <w:sz w:val="22"/>
        </w:rPr>
        <w:t xml:space="preserve"> (GEO: GSE96583): PBMCs from eight donors, control versus 6-hour IFN-β stimulation captured in two 10x lanes (condition fully confounded with lane, disclosed in Supplementary Note 8; cross-metric contrasts, not absolute detection, are the informative quantity). Singlets with annotated cell types were retained (24,413 cells, six cell types); pseudobulks per (donor, condition) were computed from raw counts, normalized to 10,000, log1p-transformed; ω, k_f, k_n, and raw JS were evaluated under the per-pair top-200 scheme for stimulated-versus-control (perturbation class) and donor-versus-donor (donor-drift class) comparisons. Significance: condition labels permuted within donor (B = 1,000, genes re-selected per permutation, one-sided upper tail); separability: exact rank AUC per metric per cell type (scripts and outputs in Supplementary Methods 5.9; Supplementary Table 3b).</w:t>
      </w:r>
    </w:p>
    <w:p>
      <w:pPr>
        <w:pStyle w:val="Heading2"/>
        <w:spacing w:before="420" w:after="160"/>
      </w:pPr>
      <w:r>
        <w:rPr>
          <w:rFonts w:ascii="Arial" w:hAnsi="Arial"/>
          <w:color w:val="000000"/>
          <w:sz w:val="24"/>
          <w:b/>
        </w:rPr>
        <w:t>Neutral-drift calibration on technical replicates</w:t>
      </w:r>
    </w:p>
    <w:p>
      <w:pPr>
        <w:spacing w:line="276" w:lineRule="auto" w:after="80"/>
        <w:ind w:firstLine="0"/>
      </w:pPr>
      <w:r>
        <w:rPr>
          <w:rFonts w:ascii="Arial" w:hAnsi="Arial"/>
          <w:b w:val="0"/>
          <w:i w:val="0"/>
          <w:color w:val="000000"/>
          <w:sz w:val="22"/>
        </w:rPr>
        <w:t xml:space="preserve">Neutral-drift specificity was tested on real technical replicates against a per-pair size-matched cell-shuffle null: nuclei of the two groups are pooled, permuted, and re-split into disjoint subsets of the observed sizes, so each pair is compared against a null matching its donor, cell type, and group sizes (B = 200 per pair for Kang; 100/30/30 for brain tiers T1/T2/T3, the B = 30 tiers read as tier-level calibrations). Calibration is reported as observed/null median; the false-positive element as observed &gt; own null 95th percentile. Kang batch 1 </w:t>
      </w:r>
      <w:r>
        <w:rPr>
          <w:rFonts w:ascii="Arial" w:hAnsi="Arial"/>
          <w:b w:val="0"/>
          <w:i w:val="0"/>
          <w:color w:val="000000"/>
          <w:sz w:val="22"/>
          <w:vertAlign w:val="superscript"/>
        </w:rPr>
        <w:t>14</w:t>
      </w:r>
      <w:r>
        <w:rPr>
          <w:rFonts w:ascii="Arial" w:hAnsi="Arial"/>
          <w:b w:val="0"/>
          <w:i w:val="0"/>
          <w:color w:val="000000"/>
          <w:sz w:val="22"/>
        </w:rPr>
        <w:t xml:space="preserve">: unstimulated PBMCs from eight donors across three 10x lanes (every donor in exactly two lanes) yielded 30 same-donor, same-condition cross-lane pairs across six cell types, evaluated on k_n (HRT Atlas HK genes </w:t>
      </w:r>
      <w:r>
        <w:rPr>
          <w:rFonts w:ascii="Arial" w:hAnsi="Arial"/>
          <w:b w:val="0"/>
          <w:i w:val="0"/>
          <w:color w:val="000000"/>
          <w:sz w:val="22"/>
          <w:vertAlign w:val="superscript"/>
        </w:rPr>
        <w:t>13</w:t>
      </w:r>
      <w:r>
        <w:rPr>
          <w:rFonts w:ascii="Arial" w:hAnsi="Arial"/>
          <w:b w:val="0"/>
          <w:i w:val="0"/>
          <w:color w:val="000000"/>
          <w:sz w:val="22"/>
        </w:rPr>
        <w:t xml:space="preserve">), k_f, ω, raw JS, and cosine. Brain drift ladder </w:t>
      </w:r>
      <w:r>
        <w:rPr>
          <w:rFonts w:ascii="Arial" w:hAnsi="Arial"/>
          <w:b w:val="0"/>
          <w:i w:val="0"/>
          <w:color w:val="000000"/>
          <w:sz w:val="22"/>
          <w:vertAlign w:val="superscript"/>
        </w:rPr>
        <w:t>12</w:t>
      </w:r>
      <w:r>
        <w:rPr>
          <w:rFonts w:ascii="Arial" w:hAnsi="Arial"/>
          <w:b w:val="0"/>
          <w:i w:val="0"/>
          <w:color w:val="000000"/>
          <w:sz w:val="22"/>
        </w:rPr>
        <w:t>: 2,732 (cell class, library) groups with ≥ 20 nuclei defined library-level pairs in three tiers (the per-pair null constituting the fourth ladder tier)—T1, same (donor, region), 2,161 pairs; T2, same region different donors, 1,089; T3, same donor different regions, 1,656 (T2/T3 subsampled at 200 per cell class)—evaluated for seven metrics including Spearman distance and a pairwise marker Jaccard distance (definitions, seeds, scripts in Supplementary Methods 5.10; per-class values in Section 3.12 of the Supplementary Information).</w:t>
      </w:r>
    </w:p>
    <w:p>
      <w:pPr>
        <w:pStyle w:val="Heading2"/>
        <w:spacing w:before="420" w:after="160"/>
      </w:pPr>
      <w:r>
        <w:rPr>
          <w:rFonts w:ascii="Arial" w:hAnsi="Arial"/>
          <w:color w:val="000000"/>
          <w:sz w:val="24"/>
          <w:b/>
        </w:rPr>
        <w:t>Fixed gene-panel ablation</w:t>
      </w:r>
    </w:p>
    <w:p>
      <w:pPr>
        <w:spacing w:line="276" w:lineRule="auto" w:after="80"/>
        <w:ind w:firstLine="0"/>
      </w:pPr>
      <w:r>
        <w:rPr>
          <w:rFonts w:ascii="Arial" w:hAnsi="Arial"/>
          <w:b w:val="0"/>
          <w:i w:val="0"/>
          <w:color w:val="000000"/>
          <w:sz w:val="22"/>
        </w:rPr>
        <w:t>To test whether the brain conclusions depend on the per-pair circular selection of k_f genes, the entire brain landscape (31,764 pairs, identical keep set, pseudobulks, k_n) was recomputed under three alternative schemes: (i) a fixed panel of 2,000 non-HK genes with highest global mean; (ii) a leave-pair-out panel (top-200 by mean absolute difference over all other region pairs of the same cell type); (iii) all 5,000 non-HK genes. Pair-level and class-level rank agreement (Spearman), circularity inflation ratios, and residual-ranking agreement were summarized, and a scheme-matched block-shuffle null (B = 200) verified class-level significance under leave-pair-out (full results: Supplementary Note 9 and Supplementary Methods 5.11).</w:t>
      </w:r>
    </w:p>
    <w:p>
      <w:pPr>
        <w:pStyle w:val="Heading2"/>
        <w:spacing w:before="420" w:after="160"/>
      </w:pPr>
      <w:r>
        <w:rPr>
          <w:rFonts w:ascii="Arial" w:hAnsi="Arial"/>
          <w:color w:val="000000"/>
          <w:sz w:val="24"/>
          <w:b/>
        </w:rPr>
        <w:t>Per-sample divergence and group statistics (TCGA)</w:t>
      </w:r>
    </w:p>
    <w:p>
      <w:pPr>
        <w:spacing w:line="276" w:lineRule="auto" w:after="80"/>
        <w:ind w:firstLine="0"/>
      </w:pPr>
      <w:r>
        <w:rPr>
          <w:rFonts w:ascii="Arial" w:hAnsi="Arial"/>
          <w:b w:val="0"/>
          <w:i w:val="0"/>
          <w:color w:val="000000"/>
          <w:sz w:val="22"/>
        </w:rPr>
        <w:t>Per-tumor statistics were derived from the linear-normalization pair table (34,828 pairs after dropping the 478 pairs touching the 32 cell-line-derived aliquots from the 35,306-pair table: 2,000 TT and 2,000 TN seeded-subsampled pairs per cancer type plus complete NN pairs; Monte-Carlo error ~0.01–0.02 ratio units) as the mean of ω, k_f, k_n over all pairs in which a sample participates (median 4–11 per tumor). Group-level NN/TT and k_n ratios are ratios of means with 95% CIs from a sample-level cluster bootstrap (B = 1,000; tumor and normal samples resampled independently, pairs reweighted by endpoint weights). LUAD driver groups (61 EGFR, 120 KRAS, 311 WT with pair coverage; 2 double mutants excluded) were tested by Kruskal-Wallis with Dunn–Holm post-hoc tests and within-group bootstrap CIs (B = 1,000). Covariate adjustment used ESTIMATE stromal/immune scores (official 141 + 141 gene sets, rank-based single-sample enrichment over 45,504 expressed genes; combined score as covariate) and LUAD smoking status, age, and sex from cBioPortal (87% coverage), fitted by OLS (metric ~ group + covariates; pack-years reported descriptively). The LIHC survival analysis used Cox proportional-hazards regression with per-tumor ω standardized per SD, adjusted for AJCC stage, Edmondson grade, age, and sex, with k_f-only, k_n-only, and tumor–normal-ω sensitivity models (scripts and outputs in Supplementary Methods 5.12).</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 xml:space="preserve">Supplementary within-cancer-type stratifications (BRCA PAM50 </w:t>
      </w:r>
      <w:r>
        <w:rPr>
          <w:rFonts w:ascii="Arial" w:hAnsi="Arial"/>
          <w:b w:val="0"/>
          <w:i w:val="0"/>
          <w:color w:val="000000"/>
          <w:sz w:val="22"/>
          <w:vertAlign w:val="superscript"/>
        </w:rPr>
        <w:t>52,53</w:t>
      </w:r>
      <w:r>
        <w:rPr>
          <w:rFonts w:ascii="Arial" w:hAnsi="Arial"/>
          <w:b w:val="0"/>
          <w:i w:val="0"/>
          <w:color w:val="000000"/>
          <w:sz w:val="22"/>
        </w:rPr>
        <w:t xml:space="preserve">, LIHC Edmondson grade </w:t>
      </w:r>
      <w:r>
        <w:rPr>
          <w:rFonts w:ascii="Arial" w:hAnsi="Arial"/>
          <w:b w:val="0"/>
          <w:i w:val="0"/>
          <w:color w:val="000000"/>
          <w:sz w:val="22"/>
          <w:vertAlign w:val="superscript"/>
        </w:rPr>
        <w:t>54</w:t>
      </w:r>
      <w:r>
        <w:rPr>
          <w:rFonts w:ascii="Arial" w:hAnsi="Arial"/>
          <w:b w:val="0"/>
          <w:i w:val="0"/>
          <w:color w:val="000000"/>
          <w:sz w:val="22"/>
        </w:rPr>
        <w:t>, LUAD mutations; all cBioPortal-derived as above) used intratumoral ω per clinical stratum, tested by Kruskal-Wallis or Jonckheere-Terpstra trend tests; paired tumor–normal comparisons are reported descriptively, and k_f-only/k_n-only component controls used the identical pipeline (Supplementary Note 5; Supplementary Methods 5.12; Supplementary Table 15).</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 xml:space="preserve">Typical runtime for a single cell-type pair is under 5 minutes; the full brain analysis required ~72 core-hours on a Windows x64 workstation (32 GB RAM; verified environment in the Reproducibility Guide). Analyses used Python 3.14.4 with scanpy 1.12.1 </w:t>
      </w:r>
      <w:r>
        <w:rPr>
          <w:rFonts w:ascii="Arial" w:hAnsi="Arial"/>
          <w:b w:val="0"/>
          <w:i w:val="0"/>
          <w:color w:val="000000"/>
          <w:sz w:val="22"/>
          <w:vertAlign w:val="superscript"/>
        </w:rPr>
        <w:t>45</w:t>
      </w:r>
      <w:r>
        <w:rPr>
          <w:rFonts w:ascii="Arial" w:hAnsi="Arial"/>
          <w:b w:val="0"/>
          <w:i w:val="0"/>
          <w:color w:val="000000"/>
          <w:sz w:val="22"/>
        </w:rPr>
        <w:t xml:space="preserve">, scipy ≥ 1.10.0, numpy ≥ 1.23.0, pandas ≥ 1.5.0, matplotlib ≥ 3.6.0, seaborn ≥ 0.12.0 </w:t>
      </w:r>
      <w:r>
        <w:rPr>
          <w:rFonts w:ascii="Arial" w:hAnsi="Arial"/>
          <w:b w:val="0"/>
          <w:i w:val="0"/>
          <w:color w:val="000000"/>
          <w:sz w:val="22"/>
          <w:vertAlign w:val="superscript"/>
        </w:rPr>
        <w:t>55</w:t>
      </w:r>
      <w:r>
        <w:rPr>
          <w:rFonts w:ascii="Arial" w:hAnsi="Arial"/>
          <w:b w:val="0"/>
          <w:i w:val="0"/>
          <w:color w:val="000000"/>
          <w:sz w:val="22"/>
        </w:rPr>
        <w:t xml:space="preserve">, and scikit-learn ≥ 1.2.0 </w:t>
      </w:r>
      <w:r>
        <w:rPr>
          <w:rFonts w:ascii="Arial" w:hAnsi="Arial"/>
          <w:b w:val="0"/>
          <w:i w:val="0"/>
          <w:color w:val="000000"/>
          <w:sz w:val="22"/>
          <w:vertAlign w:val="superscript"/>
        </w:rPr>
        <w:t>56</w:t>
      </w:r>
      <w:r>
        <w:rPr>
          <w:rFonts w:ascii="Arial" w:hAnsi="Arial"/>
          <w:b w:val="0"/>
          <w:i w:val="0"/>
          <w:color w:val="000000"/>
          <w:sz w:val="22"/>
        </w:rPr>
        <w:t>; seeds fixed at 42 unless noted (Supplementary Methods 5.13). With B = 1,000 permutations the Monte Carlo standard error of the empirical P-value is ~0.016 at P = 0.5, so seed variation has negligible impact.</w:t>
      </w:r>
    </w:p>
    <w:p>
      <w:pPr>
        <w:pStyle w:val="Heading2"/>
        <w:spacing w:before="420" w:after="160"/>
      </w:pPr>
      <w:r>
        <w:rPr>
          <w:rFonts w:ascii="Arial" w:hAnsi="Arial"/>
          <w:color w:val="000000"/>
          <w:sz w:val="24"/>
          <w:b/>
        </w:rPr>
        <w:t>Statistics and reproducibility</w:t>
      </w:r>
    </w:p>
    <w:p>
      <w:pPr>
        <w:spacing w:line="276" w:lineRule="auto" w:after="80"/>
        <w:ind w:firstLine="0"/>
      </w:pPr>
      <w:r>
        <w:rPr>
          <w:rFonts w:ascii="Arial" w:hAnsi="Arial"/>
          <w:b w:val="0"/>
          <w:i w:val="0"/>
          <w:color w:val="000000"/>
          <w:sz w:val="22"/>
        </w:rPr>
        <w:t xml:space="preserve">We report summary statistics as mean ± s.d. or median [IQR] as noted. Resampling-based inference </w:t>
      </w:r>
      <w:r>
        <w:rPr>
          <w:rFonts w:ascii="Arial" w:hAnsi="Arial"/>
          <w:b w:val="0"/>
          <w:i w:val="0"/>
          <w:color w:val="000000"/>
          <w:sz w:val="22"/>
          <w:vertAlign w:val="superscript"/>
        </w:rPr>
        <w:t>57</w:t>
      </w:r>
      <w:r>
        <w:rPr>
          <w:rFonts w:ascii="Arial" w:hAnsi="Arial"/>
          <w:b w:val="0"/>
          <w:i w:val="0"/>
          <w:color w:val="000000"/>
          <w:sz w:val="22"/>
        </w:rPr>
        <w:t xml:space="preserve"> (permutation for P-values; bootstrap for CIs) used B = 1,000 across all four datasets, with one-sided empirical P-values P = (count(ω_null ≥ ω_obs) + 1)/(B + 1) and identity genes re-selected per iteration (TCGA fixed-panel excepted). Benjamini-Hochberg FDR </w:t>
      </w:r>
      <w:r>
        <w:rPr>
          <w:rFonts w:ascii="Arial" w:hAnsi="Arial"/>
          <w:b w:val="0"/>
          <w:i w:val="0"/>
          <w:color w:val="000000"/>
          <w:sz w:val="22"/>
          <w:vertAlign w:val="superscript"/>
        </w:rPr>
        <w:t>44</w:t>
      </w:r>
      <w:r>
        <w:rPr>
          <w:rFonts w:ascii="Arial" w:hAnsi="Arial"/>
          <w:b w:val="0"/>
          <w:i w:val="0"/>
          <w:color w:val="000000"/>
          <w:sz w:val="22"/>
        </w:rPr>
        <w:t xml:space="preserve"> is applied within each dataset at two levels: group-level tests (m = 10 brain classes, 17 human cell types, 15 mouse pairs, 5 cancer types; BH thresholds for the most significant test all exceed the resolvable P-value 9.99 × 10⁻⁴) and the brain per-pair screen (m = 31,764; the BH threshold at 0.05/31,764 ≈ 1.6 × 10⁻⁶ lies ~600-fold below the smallest resolvable P, so q &lt; 0.05 is unattainable without ~635 floor P-values or B ≈ 6 × 10⁵ permutations). The per-pair FDR outcome (minimum q = 0.520) is thus a statement about permutation resolution; raw-P distribution: 1,960 of 31,764 pairs at raw P &lt; 0.05 versus ~1,588 expected under a global null.</w:t>
      </w:r>
    </w:p>
    <w:p>
      <w:pPr>
        <w:spacing w:line="276" w:lineRule="auto" w:after="80"/>
        <w:ind w:firstLine="0"/>
      </w:pPr>
      <w:r>
        <w:rPr>
          <w:rFonts w:ascii="Arial" w:hAnsi="Arial"/>
          <w:b w:val="0"/>
          <w:i w:val="0"/>
          <w:color w:val="000000"/>
          <w:sz w:val="22"/>
        </w:rPr>
        <w:t>Bootstrap 95% CIs for ω point estimates resample pair-level values (B = 10,000, percentile method); because pairs nest within regions, region-clustered block bootstrap CIs (B = 2,000) are the preferred uncertainty summary for landscape quantities (gradient 6.10 [5.55, 9.63]; grand mean 38.55 [36.35, 40.73]; Strong count 39 [12, 74]). Per-class calibrated quantities propagate calibration-denominator uncertainty via a joint two-stage region-clustered bootstrap (B = 5,000; Supplementary Note 3), superseding the earlier anti-conservative i.i.d. interval; studentized (bootstrap-t) intervals use an influence-function sandwich standard error with log-scale delta method (B = 5,000; coverage 0.953/0.951; Supplementary Methods 5.14). The ω distribution was characterized by skewness, kurtosis, and normality tests: all right-skewed (brain 2.22; mouse 0.99; human 1.17), normality rejected for the large datasets (Supplementary Fig. 1). The split-half calibration experiment (300 ω values) yielded mean ω = 7.70 (two-stage bootstrap over the six populations, B = 5,000: 95% CI [6.38, 9.82]; the 300-value interval [7.37, 8.02] treats nested splits as independent and is anti-conservative; SD of replicate means 1.15; legacy estimate 6.67 consistent), reflecting systematic k_f inflation from identity-gene selection, which the permutation null accounts for by construction. Gradient-level controls additionally use a donor cluster bootstrap (B = 1,000, seed 42; four donors resampled with replacement, full pipeline recomputed per resample).</w:t>
      </w:r>
    </w:p>
    <w:p>
      <w:pPr>
        <w:spacing w:line="276" w:lineRule="auto" w:after="80"/>
        <w:ind w:firstLine="0"/>
      </w:pPr>
      <w:r>
        <w:rPr>
          <w:rFonts w:ascii="Arial" w:hAnsi="Arial"/>
          <w:b w:val="0"/>
          <w:i w:val="0"/>
          <w:color w:val="000000"/>
          <w:sz w:val="22"/>
        </w:rPr>
        <w:t>Statistical conventions. All P-values are one-sided permutation tests (B = 1,000) unless otherwise specified; Benjamini-Hochberg FDR within each dataset. Non-parametric tests (Spearman, Mann-Whitney U, Kruskal-Wallis, Jonckheere-Terpstra) are two-sided with exact P-values, except the mouse-pilot X-versus-C calibration contrast (Fig. 2b; one-sided U, exploratory pilot n = 15). Effect sizes include SES from the permutation null. Bootstrap CI resample counts are reported per analysis (B = 1,000 composition cluster bootstrap and TCGA ratios; 2,000 region-clustered; 5,000 joint and studentized; 10,000 pair-level point estimates), with Monte Carlo errors in the Supplementary Information. All analyses use JS divergence with base-2 logarithm; sample sizes are reported per comparison.</w:t>
      </w:r>
    </w:p>
    <w:p>
      <w:pPr>
        <w:pStyle w:val="Heading2"/>
        <w:spacing w:before="420" w:after="160"/>
      </w:pPr>
      <w:r>
        <w:rPr>
          <w:rFonts w:ascii="Arial" w:hAnsi="Arial"/>
          <w:color w:val="000000"/>
          <w:sz w:val="24"/>
          <w:b/>
        </w:rPr>
        <w:t>Use of large language models</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TCGA data: NCI Genomic Data Commons (https://portal.gdc.cancer.gov/). HRT Atlas (optional human/mouse housekeeping-gene reference): https://www.housekeeping.unicamp.br. Human brain atlas: CZ CELLxGENE Discover, collection ID 283d65eb-dd53-496d-adb7-7570c7caa443 (https://cellxgene.cziscience.com/collections/283d65eb-dd53-496d-adb7-7570c7caa443, accessed July 2025). Kang et al. IFN-β-stimulated PBMC data: GEO accession GSE96583. GTEx V8 gene-level TPM and sample metadata: GTEx Portal (https://gtexportal.org/, lung, liver, kidney cortex, and breast; accessed September 2026). Microglia supercluster data: CZ CELLxGENE Discover, same collection as the brain atlas (regenerable via notebooks/nc50_brain_atlas_microglia.py in the companion repository). BRCA PAM50 subtype assignments: cBioPortal (brca_tcga_pub study, PAM50_SUBTYPE clinical attribute). MSigDB Hallmark gene sets (Liberzon et al. 2015; see References): accessed via the Enrichr gene-set library (MSigDB_Hallmark_2020; local mirror data/tcga/hallmark_2020.gmt in the companion repository). All Supplementary Tables (1–17) are provided in CKI_Supplementary_Tables_NC.xlsx.</w:t>
      </w:r>
    </w:p>
    <w:p>
      <w:pPr>
        <w:pStyle w:val="Heading1"/>
        <w:spacing w:before="420" w:after="160"/>
      </w:pPr>
      <w:r>
        <w:rPr>
          <w:rFonts w:ascii="Arial" w:hAnsi="Arial"/>
          <w:color w:val="000000"/>
          <w:sz w:val="28"/>
          <w:b/>
        </w:rPr>
        <w:t>Code availability</w:t>
      </w:r>
    </w:p>
    <w:p>
      <w:pPr>
        <w:spacing w:line="276" w:lineRule="auto" w:after="80"/>
        <w:ind w:firstLine="0"/>
      </w:pPr>
      <w:r>
        <w:rPr>
          <w:rFonts w:ascii="Arial" w:hAnsi="Arial"/>
          <w:b w:val="0"/>
          <w:i w:val="0"/>
          <w:color w:val="000000"/>
          <w:sz w:val="22"/>
        </w:rPr>
        <w:t>The CKI source code (v0.5.6) is publicly available at https://github.com/zhanglknt/CKI-cell-type-identification (tag v0.5.6) under the MIT License. A permanent archival copy has been deposited at Zenodo (DOI: 10.5281/zenodo.20405458, which always resolves to the latest archived version, v0.5.6 at submission). The package requires Python ≥3.10 and runs on Linux, macOS, and Windows (continuous integration covers Linux; macOS and Windows are verified on local workstations). A Dockerfile is provided in the repository for containerized reproducibility. All analysis notebooks and processed data matrices are available in the same GitHub repository (tag v0.5.6) and are included in the Zenodo archive (DOI: 10.5281/zenodo.20405458).</w:t>
      </w:r>
    </w:p>
    <w:p>
      <w:pPr>
        <w:pStyle w:val="Heading1"/>
        <w:spacing w:before="420" w:after="160"/>
      </w:pPr>
      <w:r>
        <w:rPr>
          <w:rFonts w:ascii="Arial" w:hAnsi="Arial"/>
          <w:color w:val="000000"/>
          <w:sz w:val="28"/>
          <w:b/>
        </w:rPr>
        <w:t>References</w:t>
      </w:r>
    </w:p>
    <w:p>
      <w:pPr>
        <w:spacing w:line="276" w:lineRule="auto" w:after="60"/>
      </w:pPr>
      <w:r>
        <w:rPr>
          <w:rFonts w:ascii="Arial" w:hAnsi="Arial"/>
          <w:b w:val="0"/>
          <w:i w:val="0"/>
          <w:color w:val="000000"/>
          <w:sz w:val="20"/>
        </w:rPr>
        <w:t xml:space="preserve">1. Regev, A. et al. The Human Cell Atlas.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e27041 (2017).</w:t>
      </w:r>
    </w:p>
    <w:p>
      <w:pPr>
        <w:spacing w:line="276" w:lineRule="auto" w:after="60"/>
      </w:pPr>
      <w:r>
        <w:rPr>
          <w:rFonts w:ascii="Arial" w:hAnsi="Arial"/>
          <w:b w:val="0"/>
          <w:i w:val="0"/>
          <w:color w:val="000000"/>
          <w:sz w:val="20"/>
        </w:rPr>
        <w:t xml:space="preserve">2. Korsunsky, I. et al. Fast, sensitive and accurate integration of single-cell data with Harmony.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16,</w:t>
      </w:r>
      <w:r>
        <w:rPr>
          <w:rFonts w:ascii="Arial" w:hAnsi="Arial"/>
          <w:b w:val="0"/>
          <w:i w:val="0"/>
          <w:color w:val="000000"/>
          <w:sz w:val="20"/>
        </w:rPr>
        <w:t xml:space="preserve"> 1289–1296 (2019).</w:t>
      </w:r>
    </w:p>
    <w:p>
      <w:pPr>
        <w:spacing w:line="276" w:lineRule="auto" w:after="60"/>
      </w:pPr>
      <w:r>
        <w:rPr>
          <w:rFonts w:ascii="Arial" w:hAnsi="Arial"/>
          <w:b w:val="0"/>
          <w:i w:val="0"/>
          <w:color w:val="000000"/>
          <w:sz w:val="20"/>
        </w:rPr>
        <w:t xml:space="preserve">3. Lopez, R., Regier, J., Cole, M. B., Jordan, M. I. &amp; Yosef, N. Deep generative modeling for single-cell transcriptomics.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1053–1058 (2018).</w:t>
      </w:r>
    </w:p>
    <w:p>
      <w:pPr>
        <w:spacing w:line="276" w:lineRule="auto" w:after="60"/>
      </w:pPr>
      <w:r>
        <w:rPr>
          <w:rFonts w:ascii="Arial" w:hAnsi="Arial"/>
          <w:b w:val="0"/>
          <w:i w:val="0"/>
          <w:color w:val="000000"/>
          <w:sz w:val="20"/>
        </w:rPr>
        <w:t xml:space="preserve">4. Rosen, Y. et al. Toward universal cell embeddings: integrating single-cell RNA-seq datasets across species with SATURN.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1492–1500 (2024).</w:t>
      </w:r>
    </w:p>
    <w:p>
      <w:pPr>
        <w:spacing w:line="276" w:lineRule="auto" w:after="60"/>
      </w:pPr>
      <w:r>
        <w:rPr>
          <w:rFonts w:ascii="Arial" w:hAnsi="Arial"/>
          <w:b w:val="0"/>
          <w:i w:val="0"/>
          <w:color w:val="000000"/>
          <w:sz w:val="20"/>
        </w:rPr>
        <w:t xml:space="preserve">5. Tran, H. T. N. et al. A benchmark of batch-effect correction methods for single-cell RNA sequencing data.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12 (2020).</w:t>
      </w:r>
    </w:p>
    <w:p>
      <w:pPr>
        <w:spacing w:line="276" w:lineRule="auto" w:after="60"/>
      </w:pPr>
      <w:r>
        <w:rPr>
          <w:rFonts w:ascii="Arial" w:hAnsi="Arial"/>
          <w:b w:val="0"/>
          <w:i w:val="0"/>
          <w:color w:val="000000"/>
          <w:sz w:val="20"/>
        </w:rPr>
        <w:t xml:space="preserve">6. Nei, M. &amp; Gojobori, T. Simple methods for estimating the numbers of synonymous and nonsynonymous nucleotide substitutions.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418–426 (1986).</w:t>
      </w:r>
    </w:p>
    <w:p>
      <w:pPr>
        <w:spacing w:line="276" w:lineRule="auto" w:after="60"/>
      </w:pPr>
      <w:r>
        <w:rPr>
          <w:rFonts w:ascii="Arial" w:hAnsi="Arial"/>
          <w:b w:val="0"/>
          <w:i w:val="0"/>
          <w:color w:val="000000"/>
          <w:sz w:val="20"/>
        </w:rPr>
        <w:t xml:space="preserve">7. Yang, Z. PAML 4: phylogenetic analysis by maximum likelihood.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24,</w:t>
      </w:r>
      <w:r>
        <w:rPr>
          <w:rFonts w:ascii="Arial" w:hAnsi="Arial"/>
          <w:b w:val="0"/>
          <w:i w:val="0"/>
          <w:color w:val="000000"/>
          <w:sz w:val="20"/>
        </w:rPr>
        <w:t xml:space="preserve"> 1586–1591 (2007).</w:t>
      </w:r>
    </w:p>
    <w:p>
      <w:pPr>
        <w:spacing w:line="276" w:lineRule="auto" w:after="60"/>
      </w:pPr>
      <w:r>
        <w:rPr>
          <w:rFonts w:ascii="Arial" w:hAnsi="Arial"/>
          <w:b w:val="0"/>
          <w:i w:val="0"/>
          <w:color w:val="000000"/>
          <w:sz w:val="20"/>
        </w:rPr>
        <w:t xml:space="preserve">8. Tabula Muris Consortium. Single-cell transcriptomics of 20 mouse organs creates a Tabula Muris.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562,</w:t>
      </w:r>
      <w:r>
        <w:rPr>
          <w:rFonts w:ascii="Arial" w:hAnsi="Arial"/>
          <w:b w:val="0"/>
          <w:i w:val="0"/>
          <w:color w:val="000000"/>
          <w:sz w:val="20"/>
        </w:rPr>
        <w:t xml:space="preserve"> 367–372 (2018).</w:t>
      </w:r>
    </w:p>
    <w:p>
      <w:pPr>
        <w:spacing w:line="276" w:lineRule="auto" w:after="60"/>
      </w:pPr>
      <w:r>
        <w:rPr>
          <w:rFonts w:ascii="Arial" w:hAnsi="Arial"/>
          <w:b w:val="0"/>
          <w:i w:val="0"/>
          <w:color w:val="000000"/>
          <w:sz w:val="20"/>
        </w:rPr>
        <w:t xml:space="preserve">9. Tabula Sapiens Consortium. The Tabula Sapiens: a multiple-organ, single-cell transcriptomic atlas of humans.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376,</w:t>
      </w:r>
      <w:r>
        <w:rPr>
          <w:rFonts w:ascii="Arial" w:hAnsi="Arial"/>
          <w:b w:val="0"/>
          <w:i w:val="0"/>
          <w:color w:val="000000"/>
          <w:sz w:val="20"/>
        </w:rPr>
        <w:t xml:space="preserve"> eabl4896 (2022).</w:t>
      </w:r>
    </w:p>
    <w:p>
      <w:pPr>
        <w:spacing w:line="276" w:lineRule="auto" w:after="60"/>
      </w:pPr>
      <w:r>
        <w:rPr>
          <w:rFonts w:ascii="Arial" w:hAnsi="Arial"/>
          <w:b w:val="0"/>
          <w:i w:val="0"/>
          <w:color w:val="000000"/>
          <w:sz w:val="20"/>
        </w:rPr>
        <w:t xml:space="preserve">10. Cancer Genome Atlas Research Network. Comprehensive molecular profiling of lung adenocarcinoma.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511,</w:t>
      </w:r>
      <w:r>
        <w:rPr>
          <w:rFonts w:ascii="Arial" w:hAnsi="Arial"/>
          <w:b w:val="0"/>
          <w:i w:val="0"/>
          <w:color w:val="000000"/>
          <w:sz w:val="20"/>
        </w:rPr>
        <w:t xml:space="preserve"> 543–550 (2014).</w:t>
      </w:r>
    </w:p>
    <w:p>
      <w:pPr>
        <w:spacing w:line="276" w:lineRule="auto" w:after="60"/>
      </w:pPr>
      <w:r>
        <w:rPr>
          <w:rFonts w:ascii="Arial" w:hAnsi="Arial"/>
          <w:b w:val="0"/>
          <w:i w:val="0"/>
          <w:color w:val="000000"/>
          <w:sz w:val="20"/>
        </w:rPr>
        <w:t xml:space="preserve">11. Cancer Genome Atlas Network. Comprehensive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490,</w:t>
      </w:r>
      <w:r>
        <w:rPr>
          <w:rFonts w:ascii="Arial" w:hAnsi="Arial"/>
          <w:b w:val="0"/>
          <w:i w:val="0"/>
          <w:color w:val="000000"/>
          <w:sz w:val="20"/>
        </w:rPr>
        <w:t xml:space="preserve"> 61–70 (2012).</w:t>
      </w:r>
    </w:p>
    <w:p>
      <w:pPr>
        <w:spacing w:line="276" w:lineRule="auto" w:after="60"/>
      </w:pPr>
      <w:r>
        <w:rPr>
          <w:rFonts w:ascii="Arial" w:hAnsi="Arial"/>
          <w:b w:val="0"/>
          <w:i w:val="0"/>
          <w:color w:val="000000"/>
          <w:sz w:val="20"/>
        </w:rPr>
        <w:t xml:space="preserve">12. Siletti, K. et al. Transcriptomic diversity of cell types across the adult human brain.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382,</w:t>
      </w:r>
      <w:r>
        <w:rPr>
          <w:rFonts w:ascii="Arial" w:hAnsi="Arial"/>
          <w:b w:val="0"/>
          <w:i w:val="0"/>
          <w:color w:val="000000"/>
          <w:sz w:val="20"/>
        </w:rPr>
        <w:t xml:space="preserve"> eadd7046 (2023).</w:t>
      </w:r>
    </w:p>
    <w:p>
      <w:pPr>
        <w:spacing w:line="276" w:lineRule="auto" w:after="60"/>
      </w:pPr>
      <w:r>
        <w:rPr>
          <w:rFonts w:ascii="Arial" w:hAnsi="Arial"/>
          <w:b w:val="0"/>
          <w:i w:val="0"/>
          <w:color w:val="000000"/>
          <w:sz w:val="20"/>
        </w:rPr>
        <w:t xml:space="preserve">13. Hounkpe, B. W., Chenou, F., de Lima, F. &amp; De Paula, E. V. HRT Atlas v1.0 database: redefining human and mouse housekeeping genes and candidate reference transcripts by mining massive RNA-seq datasets.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49,</w:t>
      </w:r>
      <w:r>
        <w:rPr>
          <w:rFonts w:ascii="Arial" w:hAnsi="Arial"/>
          <w:b w:val="0"/>
          <w:i w:val="0"/>
          <w:color w:val="000000"/>
          <w:sz w:val="20"/>
        </w:rPr>
        <w:t xml:space="preserve"> D947–D955 (2021).</w:t>
      </w:r>
    </w:p>
    <w:p>
      <w:pPr>
        <w:spacing w:line="276" w:lineRule="auto" w:after="60"/>
      </w:pPr>
      <w:r>
        <w:rPr>
          <w:rFonts w:ascii="Arial" w:hAnsi="Arial"/>
          <w:b w:val="0"/>
          <w:i w:val="0"/>
          <w:color w:val="000000"/>
          <w:sz w:val="20"/>
        </w:rPr>
        <w:t xml:space="preserve">14. Kang, H. M. et al. Multiplexed droplet single-cell RNA-sequencing using natural genetic variation.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36,</w:t>
      </w:r>
      <w:r>
        <w:rPr>
          <w:rFonts w:ascii="Arial" w:hAnsi="Arial"/>
          <w:b w:val="0"/>
          <w:i w:val="0"/>
          <w:color w:val="000000"/>
          <w:sz w:val="20"/>
        </w:rPr>
        <w:t xml:space="preserve"> 89–94 (2018).</w:t>
      </w:r>
    </w:p>
    <w:p>
      <w:pPr>
        <w:spacing w:line="276" w:lineRule="auto" w:after="60"/>
      </w:pPr>
      <w:r>
        <w:rPr>
          <w:rFonts w:ascii="Arial" w:hAnsi="Arial"/>
          <w:b w:val="0"/>
          <w:i w:val="0"/>
          <w:color w:val="000000"/>
          <w:sz w:val="20"/>
        </w:rPr>
        <w:t xml:space="preserve">15. Liberzon, A. et al. The Molecular Signatures Database Hallmark Gene Set Collection. </w:t>
      </w:r>
      <w:r>
        <w:rPr>
          <w:rFonts w:ascii="Arial" w:hAnsi="Arial"/>
          <w:b w:val="0"/>
          <w:i/>
          <w:color w:val="000000"/>
          <w:sz w:val="20"/>
        </w:rPr>
        <w:t>Cell Syst.</w:t>
      </w:r>
      <w:r>
        <w:rPr>
          <w:rFonts w:ascii="Arial" w:hAnsi="Arial"/>
          <w:b w:val="0"/>
          <w:i w:val="0"/>
          <w:color w:val="000000"/>
          <w:sz w:val="20"/>
        </w:rPr>
        <w:t xml:space="preserve"> </w:t>
      </w:r>
      <w:r>
        <w:rPr>
          <w:rFonts w:ascii="Arial" w:hAnsi="Arial"/>
          <w:b/>
          <w:i w:val="0"/>
          <w:color w:val="000000"/>
          <w:sz w:val="20"/>
        </w:rPr>
        <w:t>1,</w:t>
      </w:r>
      <w:r>
        <w:rPr>
          <w:rFonts w:ascii="Arial" w:hAnsi="Arial"/>
          <w:b w:val="0"/>
          <w:i w:val="0"/>
          <w:color w:val="000000"/>
          <w:sz w:val="20"/>
        </w:rPr>
        <w:t xml:space="preserve"> 417–425 (2015).</w:t>
      </w:r>
    </w:p>
    <w:p>
      <w:pPr>
        <w:spacing w:line="276" w:lineRule="auto" w:after="60"/>
      </w:pPr>
      <w:r>
        <w:rPr>
          <w:rFonts w:ascii="Arial" w:hAnsi="Arial"/>
          <w:b w:val="0"/>
          <w:i w:val="0"/>
          <w:color w:val="000000"/>
          <w:sz w:val="20"/>
        </w:rPr>
        <w:t xml:space="preserve">16. Wälchli, T. et al. Single-cell atlas of the human brain vasculature across development, adulthood and disease.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632,</w:t>
      </w:r>
      <w:r>
        <w:rPr>
          <w:rFonts w:ascii="Arial" w:hAnsi="Arial"/>
          <w:b w:val="0"/>
          <w:i w:val="0"/>
          <w:color w:val="000000"/>
          <w:sz w:val="20"/>
        </w:rPr>
        <w:t xml:space="preserve"> 603–613 (2024).</w:t>
      </w:r>
    </w:p>
    <w:p>
      <w:pPr>
        <w:spacing w:line="276" w:lineRule="auto" w:after="60"/>
      </w:pPr>
      <w:r>
        <w:rPr>
          <w:rFonts w:ascii="Arial" w:hAnsi="Arial"/>
          <w:b w:val="0"/>
          <w:i w:val="0"/>
          <w:color w:val="000000"/>
          <w:sz w:val="20"/>
        </w:rPr>
        <w:t xml:space="preserve">17. Pfau, S. J. et al. Characteristics of blood-brain barrier heterogeneity between brain regions revealed by profiling vascular and perivascular cells.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1892–1903 (2024).</w:t>
      </w:r>
    </w:p>
    <w:p>
      <w:pPr>
        <w:spacing w:line="276" w:lineRule="auto" w:after="60"/>
      </w:pPr>
      <w:r>
        <w:rPr>
          <w:rFonts w:ascii="Arial" w:hAnsi="Arial"/>
          <w:b w:val="0"/>
          <w:i w:val="0"/>
          <w:color w:val="000000"/>
          <w:sz w:val="20"/>
        </w:rPr>
        <w:t xml:space="preserve">18. Jones, H. E. et al. Meningeal origins and dynamics of perivascular fibroblast development on the mouse cerebral vasculature. </w:t>
      </w:r>
      <w:r>
        <w:rPr>
          <w:rFonts w:ascii="Arial" w:hAnsi="Arial"/>
          <w:b w:val="0"/>
          <w:i/>
          <w:color w:val="000000"/>
          <w:sz w:val="20"/>
        </w:rPr>
        <w:t>Development</w:t>
      </w:r>
      <w:r>
        <w:rPr>
          <w:rFonts w:ascii="Arial" w:hAnsi="Arial"/>
          <w:b w:val="0"/>
          <w:i w:val="0"/>
          <w:color w:val="000000"/>
          <w:sz w:val="20"/>
        </w:rPr>
        <w:t xml:space="preserve"> </w:t>
      </w:r>
      <w:r>
        <w:rPr>
          <w:rFonts w:ascii="Arial" w:hAnsi="Arial"/>
          <w:b/>
          <w:i w:val="0"/>
          <w:color w:val="000000"/>
          <w:sz w:val="20"/>
        </w:rPr>
        <w:t>150,</w:t>
      </w:r>
      <w:r>
        <w:rPr>
          <w:rFonts w:ascii="Arial" w:hAnsi="Arial"/>
          <w:b w:val="0"/>
          <w:i w:val="0"/>
          <w:color w:val="000000"/>
          <w:sz w:val="20"/>
        </w:rPr>
        <w:t xml:space="preserve"> dev201805 (2023).</w:t>
      </w:r>
    </w:p>
    <w:p>
      <w:pPr>
        <w:spacing w:line="276" w:lineRule="auto" w:after="60"/>
      </w:pPr>
      <w:r>
        <w:rPr>
          <w:rFonts w:ascii="Arial" w:hAnsi="Arial"/>
          <w:b w:val="0"/>
          <w:i w:val="0"/>
          <w:color w:val="000000"/>
          <w:sz w:val="20"/>
        </w:rPr>
        <w:t xml:space="preserve">19. Batiuk, M. Y. et al. Identification of region-specific astrocyte subtypes at single cell resolution. </w:t>
      </w:r>
      <w:r>
        <w:rPr>
          <w:rFonts w:ascii="Arial" w:hAnsi="Arial"/>
          <w:b w:val="0"/>
          <w:i/>
          <w:color w:val="000000"/>
          <w:sz w:val="20"/>
        </w:rPr>
        <w:t>Nat. Commun.</w:t>
      </w:r>
      <w:r>
        <w:rPr>
          <w:rFonts w:ascii="Arial" w:hAnsi="Arial"/>
          <w:b w:val="0"/>
          <w:i w:val="0"/>
          <w:color w:val="000000"/>
          <w:sz w:val="20"/>
        </w:rPr>
        <w:t xml:space="preserve"> </w:t>
      </w:r>
      <w:r>
        <w:rPr>
          <w:rFonts w:ascii="Arial" w:hAnsi="Arial"/>
          <w:b/>
          <w:i w:val="0"/>
          <w:color w:val="000000"/>
          <w:sz w:val="20"/>
        </w:rPr>
        <w:t>11,</w:t>
      </w:r>
      <w:r>
        <w:rPr>
          <w:rFonts w:ascii="Arial" w:hAnsi="Arial"/>
          <w:b w:val="0"/>
          <w:i w:val="0"/>
          <w:color w:val="000000"/>
          <w:sz w:val="20"/>
        </w:rPr>
        <w:t xml:space="preserve"> 1224 (2020).</w:t>
      </w:r>
    </w:p>
    <w:p>
      <w:pPr>
        <w:spacing w:line="276" w:lineRule="auto" w:after="60"/>
      </w:pPr>
      <w:r>
        <w:rPr>
          <w:rFonts w:ascii="Arial" w:hAnsi="Arial"/>
          <w:b w:val="0"/>
          <w:i w:val="0"/>
          <w:color w:val="000000"/>
          <w:sz w:val="20"/>
        </w:rPr>
        <w:t xml:space="preserve">20. Barry-Carroll, L. &amp; Gomez-Nicola, D. The molecular determinants of microglial developmental dynamics. </w:t>
      </w:r>
      <w:r>
        <w:rPr>
          <w:rFonts w:ascii="Arial" w:hAnsi="Arial"/>
          <w:b w:val="0"/>
          <w:i/>
          <w:color w:val="000000"/>
          <w:sz w:val="20"/>
        </w:rPr>
        <w:t>Nat. Rev. Neurosci.</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414–427 (2024).</w:t>
      </w:r>
    </w:p>
    <w:p>
      <w:pPr>
        <w:spacing w:line="276" w:lineRule="auto" w:after="60"/>
      </w:pPr>
      <w:r>
        <w:rPr>
          <w:rFonts w:ascii="Arial" w:hAnsi="Arial"/>
          <w:b w:val="0"/>
          <w:i w:val="0"/>
          <w:color w:val="000000"/>
          <w:sz w:val="20"/>
        </w:rPr>
        <w:t xml:space="preserve">21. Menassa, D. A. et al. The spatiotemporal dynamics of microglia across the human lifespan. </w:t>
      </w:r>
      <w:r>
        <w:rPr>
          <w:rFonts w:ascii="Arial" w:hAnsi="Arial"/>
          <w:b w:val="0"/>
          <w:i/>
          <w:color w:val="000000"/>
          <w:sz w:val="20"/>
        </w:rPr>
        <w:t>Dev. Cell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2127–2139.e6 (2022).</w:t>
      </w:r>
    </w:p>
    <w:p>
      <w:pPr>
        <w:spacing w:line="276" w:lineRule="auto" w:after="60"/>
      </w:pPr>
      <w:r>
        <w:rPr>
          <w:rFonts w:ascii="Arial" w:hAnsi="Arial"/>
          <w:b w:val="0"/>
          <w:i w:val="0"/>
          <w:color w:val="000000"/>
          <w:sz w:val="20"/>
        </w:rPr>
        <w:t xml:space="preserve">22. Barry-Carroll, L. et al. Microglia colonize the developing brain by clonal expansion of highly proliferative progenitors, following allometric scaling. </w:t>
      </w:r>
      <w:r>
        <w:rPr>
          <w:rFonts w:ascii="Arial" w:hAnsi="Arial"/>
          <w:b w:val="0"/>
          <w:i/>
          <w:color w:val="000000"/>
          <w:sz w:val="20"/>
        </w:rPr>
        <w:t>Cell Rep.</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112425 (2023).</w:t>
      </w:r>
    </w:p>
    <w:p>
      <w:pPr>
        <w:spacing w:line="276" w:lineRule="auto" w:after="60"/>
      </w:pPr>
      <w:r>
        <w:rPr>
          <w:rFonts w:ascii="Arial" w:hAnsi="Arial"/>
          <w:b w:val="0"/>
          <w:i w:val="0"/>
          <w:color w:val="000000"/>
          <w:sz w:val="20"/>
        </w:rPr>
        <w:t xml:space="preserve">23. Tsai, H. H. et al. Oligodendrocyte precursors migrate along vasculature in the developing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351,</w:t>
      </w:r>
      <w:r>
        <w:rPr>
          <w:rFonts w:ascii="Arial" w:hAnsi="Arial"/>
          <w:b w:val="0"/>
          <w:i w:val="0"/>
          <w:color w:val="000000"/>
          <w:sz w:val="20"/>
        </w:rPr>
        <w:t xml:space="preserve"> 379–384 (2016).</w:t>
      </w:r>
    </w:p>
    <w:p>
      <w:pPr>
        <w:spacing w:line="276" w:lineRule="auto" w:after="60"/>
      </w:pPr>
      <w:r>
        <w:rPr>
          <w:rFonts w:ascii="Arial" w:hAnsi="Arial"/>
          <w:b w:val="0"/>
          <w:i w:val="0"/>
          <w:color w:val="000000"/>
          <w:sz w:val="20"/>
        </w:rPr>
        <w:t xml:space="preserve">24. Su, Y. et al. Astrocyte endfoot formation controls the termination of oligodendrocyte precursor cell perivascular migration during development.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111,</w:t>
      </w:r>
      <w:r>
        <w:rPr>
          <w:rFonts w:ascii="Arial" w:hAnsi="Arial"/>
          <w:b w:val="0"/>
          <w:i w:val="0"/>
          <w:color w:val="000000"/>
          <w:sz w:val="20"/>
        </w:rPr>
        <w:t xml:space="preserve"> 190–201.e8 (2023).</w:t>
      </w:r>
    </w:p>
    <w:p>
      <w:pPr>
        <w:spacing w:line="276" w:lineRule="auto" w:after="60"/>
      </w:pPr>
      <w:r>
        <w:rPr>
          <w:rFonts w:ascii="Arial" w:hAnsi="Arial"/>
          <w:b w:val="0"/>
          <w:i w:val="0"/>
          <w:color w:val="000000"/>
          <w:sz w:val="20"/>
        </w:rPr>
        <w:t xml:space="preserve">25. Foerster, S. et al. Developmental origin of oligodendrocytes determines their function in the adult brain.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1545–1554 (2024).</w:t>
      </w:r>
    </w:p>
    <w:p>
      <w:pPr>
        <w:spacing w:line="276" w:lineRule="auto" w:after="60"/>
      </w:pPr>
      <w:r>
        <w:rPr>
          <w:rFonts w:ascii="Arial" w:hAnsi="Arial"/>
          <w:b w:val="0"/>
          <w:i w:val="0"/>
          <w:color w:val="000000"/>
          <w:sz w:val="20"/>
        </w:rPr>
        <w:t xml:space="preserve">26. Reeber, S. L., Arancillo, M. &amp; Sillitoe, R. V. Bergmann glia are patterned into topographic molecular zones in the developing and adult mouse cerebellum. </w:t>
      </w:r>
      <w:r>
        <w:rPr>
          <w:rFonts w:ascii="Arial" w:hAnsi="Arial"/>
          <w:b w:val="0"/>
          <w:i/>
          <w:color w:val="000000"/>
          <w:sz w:val="20"/>
        </w:rPr>
        <w:t>Cerebellum</w:t>
      </w:r>
      <w:r>
        <w:rPr>
          <w:rFonts w:ascii="Arial" w:hAnsi="Arial"/>
          <w:b w:val="0"/>
          <w:i w:val="0"/>
          <w:color w:val="000000"/>
          <w:sz w:val="20"/>
        </w:rPr>
        <w:t xml:space="preserve"> </w:t>
      </w:r>
      <w:r>
        <w:rPr>
          <w:rFonts w:ascii="Arial" w:hAnsi="Arial"/>
          <w:b/>
          <w:i w:val="0"/>
          <w:color w:val="000000"/>
          <w:sz w:val="20"/>
        </w:rPr>
        <w:t>17,</w:t>
      </w:r>
      <w:r>
        <w:rPr>
          <w:rFonts w:ascii="Arial" w:hAnsi="Arial"/>
          <w:b w:val="0"/>
          <w:i w:val="0"/>
          <w:color w:val="000000"/>
          <w:sz w:val="20"/>
        </w:rPr>
        <w:t xml:space="preserve"> 392–403 (2018).</w:t>
      </w:r>
    </w:p>
    <w:p>
      <w:pPr>
        <w:spacing w:line="276" w:lineRule="auto" w:after="60"/>
      </w:pPr>
      <w:r>
        <w:rPr>
          <w:rFonts w:ascii="Arial" w:hAnsi="Arial"/>
          <w:b w:val="0"/>
          <w:i w:val="0"/>
          <w:color w:val="000000"/>
          <w:sz w:val="20"/>
        </w:rPr>
        <w:t xml:space="preserve">27. Yang, L. et al. Single-cell multi-omics analysis of lineage development and spatial organization in the human fetal cerebellum. </w:t>
      </w:r>
      <w:r>
        <w:rPr>
          <w:rFonts w:ascii="Arial" w:hAnsi="Arial"/>
          <w:b w:val="0"/>
          <w:i/>
          <w:color w:val="000000"/>
          <w:sz w:val="20"/>
        </w:rPr>
        <w:t>Cell Discov.</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22 (2024).</w:t>
      </w:r>
    </w:p>
    <w:p>
      <w:pPr>
        <w:spacing w:line="276" w:lineRule="auto" w:after="60"/>
      </w:pPr>
      <w:r>
        <w:rPr>
          <w:rFonts w:ascii="Arial" w:hAnsi="Arial"/>
          <w:b w:val="0"/>
          <w:i w:val="0"/>
          <w:color w:val="000000"/>
          <w:sz w:val="20"/>
        </w:rPr>
        <w:t xml:space="preserve">28. Zhang, Y. et al. Astrocyte allocation during brain development is controlled by Tcf4-mediated fate restriction. </w:t>
      </w:r>
      <w:r>
        <w:rPr>
          <w:rFonts w:ascii="Arial" w:hAnsi="Arial"/>
          <w:b w:val="0"/>
          <w:i/>
          <w:color w:val="000000"/>
          <w:sz w:val="20"/>
        </w:rPr>
        <w:t>EMBO J.</w:t>
      </w:r>
      <w:r>
        <w:rPr>
          <w:rFonts w:ascii="Arial" w:hAnsi="Arial"/>
          <w:b w:val="0"/>
          <w:i w:val="0"/>
          <w:color w:val="000000"/>
          <w:sz w:val="20"/>
        </w:rPr>
        <w:t xml:space="preserve"> </w:t>
      </w:r>
      <w:r>
        <w:rPr>
          <w:rFonts w:ascii="Arial" w:hAnsi="Arial"/>
          <w:b/>
          <w:i w:val="0"/>
          <w:color w:val="000000"/>
          <w:sz w:val="20"/>
        </w:rPr>
        <w:t>43,</w:t>
      </w:r>
      <w:r>
        <w:rPr>
          <w:rFonts w:ascii="Arial" w:hAnsi="Arial"/>
          <w:b w:val="0"/>
          <w:i w:val="0"/>
          <w:color w:val="000000"/>
          <w:sz w:val="20"/>
        </w:rPr>
        <w:t xml:space="preserve"> 5114–5140 (2024).</w:t>
      </w:r>
    </w:p>
    <w:p>
      <w:pPr>
        <w:spacing w:line="276" w:lineRule="auto" w:after="60"/>
      </w:pPr>
      <w:r>
        <w:rPr>
          <w:rFonts w:ascii="Arial" w:hAnsi="Arial"/>
          <w:b w:val="0"/>
          <w:i w:val="0"/>
          <w:color w:val="000000"/>
          <w:sz w:val="20"/>
        </w:rPr>
        <w:t xml:space="preserve">29. Vandesompele, J. et al. Accurate normalization of real-time quantitative RT-PCR data by geometric averaging of multiple internal control genes.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RESEARCH0034 (2002).</w:t>
      </w:r>
    </w:p>
    <w:p>
      <w:pPr>
        <w:spacing w:line="276" w:lineRule="auto" w:after="60"/>
      </w:pPr>
      <w:r>
        <w:rPr>
          <w:rFonts w:ascii="Arial" w:hAnsi="Arial"/>
          <w:b w:val="0"/>
          <w:i w:val="0"/>
          <w:color w:val="000000"/>
          <w:sz w:val="20"/>
        </w:rPr>
        <w:t xml:space="preserve">30. Eisenberg, E. &amp; Levanon, E. Y. Human housekeeping genes, revisited. </w:t>
      </w:r>
      <w:r>
        <w:rPr>
          <w:rFonts w:ascii="Arial" w:hAnsi="Arial"/>
          <w:b w:val="0"/>
          <w:i/>
          <w:color w:val="000000"/>
          <w:sz w:val="20"/>
        </w:rPr>
        <w:t>Trends Genet.</w:t>
      </w:r>
      <w:r>
        <w:rPr>
          <w:rFonts w:ascii="Arial" w:hAnsi="Arial"/>
          <w:b w:val="0"/>
          <w:i w:val="0"/>
          <w:color w:val="000000"/>
          <w:sz w:val="20"/>
        </w:rPr>
        <w:t xml:space="preserve"> </w:t>
      </w:r>
      <w:r>
        <w:rPr>
          <w:rFonts w:ascii="Arial" w:hAnsi="Arial"/>
          <w:b/>
          <w:i w:val="0"/>
          <w:color w:val="000000"/>
          <w:sz w:val="20"/>
        </w:rPr>
        <w:t>29,</w:t>
      </w:r>
      <w:r>
        <w:rPr>
          <w:rFonts w:ascii="Arial" w:hAnsi="Arial"/>
          <w:b w:val="0"/>
          <w:i w:val="0"/>
          <w:color w:val="000000"/>
          <w:sz w:val="20"/>
        </w:rPr>
        <w:t xml:space="preserve"> 569–574 (2013).</w:t>
      </w:r>
    </w:p>
    <w:p>
      <w:pPr>
        <w:spacing w:line="276" w:lineRule="auto" w:after="60"/>
      </w:pPr>
      <w:r>
        <w:rPr>
          <w:rFonts w:ascii="Arial" w:hAnsi="Arial"/>
          <w:b w:val="0"/>
          <w:i w:val="0"/>
          <w:color w:val="000000"/>
          <w:sz w:val="20"/>
        </w:rPr>
        <w:t xml:space="preserve">31. Elowitz, M. B., Levine, A. J., Siggia, E. D. &amp; Swain, P. S. Stochastic gene expression in a single cell.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297,</w:t>
      </w:r>
      <w:r>
        <w:rPr>
          <w:rFonts w:ascii="Arial" w:hAnsi="Arial"/>
          <w:b w:val="0"/>
          <w:i w:val="0"/>
          <w:color w:val="000000"/>
          <w:sz w:val="20"/>
        </w:rPr>
        <w:t xml:space="preserve"> 1183–1186 (2002).</w:t>
      </w:r>
    </w:p>
    <w:p>
      <w:pPr>
        <w:spacing w:line="276" w:lineRule="auto" w:after="60"/>
      </w:pPr>
      <w:r>
        <w:rPr>
          <w:rFonts w:ascii="Arial" w:hAnsi="Arial"/>
          <w:b w:val="0"/>
          <w:i w:val="0"/>
          <w:color w:val="000000"/>
          <w:sz w:val="20"/>
        </w:rPr>
        <w:t xml:space="preserve">32. Newman, J. R. S. et al. Single-cell proteomic analysis of S. cerevisiae reveals the architecture of biological noise.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441,</w:t>
      </w:r>
      <w:r>
        <w:rPr>
          <w:rFonts w:ascii="Arial" w:hAnsi="Arial"/>
          <w:b w:val="0"/>
          <w:i w:val="0"/>
          <w:color w:val="000000"/>
          <w:sz w:val="20"/>
        </w:rPr>
        <w:t xml:space="preserve"> 840–846 (2006).</w:t>
      </w:r>
    </w:p>
    <w:p>
      <w:pPr>
        <w:spacing w:line="276" w:lineRule="auto" w:after="60"/>
      </w:pPr>
      <w:r>
        <w:rPr>
          <w:rFonts w:ascii="Arial" w:hAnsi="Arial"/>
          <w:b w:val="0"/>
          <w:i w:val="0"/>
          <w:color w:val="000000"/>
          <w:sz w:val="20"/>
        </w:rPr>
        <w:t xml:space="preserve">33. Raj, A. &amp; van Oudenaarden, A. Nature, nurture, or chance: stochastic gene expression and its consequences.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135,</w:t>
      </w:r>
      <w:r>
        <w:rPr>
          <w:rFonts w:ascii="Arial" w:hAnsi="Arial"/>
          <w:b w:val="0"/>
          <w:i w:val="0"/>
          <w:color w:val="000000"/>
          <w:sz w:val="20"/>
        </w:rPr>
        <w:t xml:space="preserve"> 216–226 (2008).</w:t>
      </w:r>
    </w:p>
    <w:p>
      <w:pPr>
        <w:spacing w:line="276" w:lineRule="auto" w:after="60"/>
      </w:pPr>
      <w:r>
        <w:rPr>
          <w:rFonts w:ascii="Arial" w:hAnsi="Arial"/>
          <w:b w:val="0"/>
          <w:i w:val="0"/>
          <w:color w:val="000000"/>
          <w:sz w:val="20"/>
        </w:rPr>
        <w:t xml:space="preserve">34. McDonald, J. H. &amp; Kreitman, M. Adaptive protein evolution at the Adh locus in Drosophila.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351,</w:t>
      </w:r>
      <w:r>
        <w:rPr>
          <w:rFonts w:ascii="Arial" w:hAnsi="Arial"/>
          <w:b w:val="0"/>
          <w:i w:val="0"/>
          <w:color w:val="000000"/>
          <w:sz w:val="20"/>
        </w:rPr>
        <w:t xml:space="preserve"> 652–654 (1991).</w:t>
      </w:r>
    </w:p>
    <w:p>
      <w:pPr>
        <w:spacing w:line="276" w:lineRule="auto" w:after="60"/>
      </w:pPr>
      <w:r>
        <w:rPr>
          <w:rFonts w:ascii="Arial" w:hAnsi="Arial"/>
          <w:b w:val="0"/>
          <w:i w:val="0"/>
          <w:color w:val="000000"/>
          <w:sz w:val="20"/>
        </w:rPr>
        <w:t xml:space="preserve">35. Tarashansky, A. J. et al. Mapping single-cell atlases throughout Metazoa unravels cell type evolution.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e66747 (2021).</w:t>
      </w:r>
    </w:p>
    <w:p>
      <w:pPr>
        <w:spacing w:line="276" w:lineRule="auto" w:after="60"/>
      </w:pPr>
      <w:r>
        <w:rPr>
          <w:rFonts w:ascii="Arial" w:hAnsi="Arial"/>
          <w:b w:val="0"/>
          <w:i w:val="0"/>
          <w:color w:val="000000"/>
          <w:sz w:val="20"/>
        </w:rPr>
        <w:t xml:space="preserve">36. Jiang, J. et al. CACIMAR: cross-species analysis of cell identities, markers, regulations, and interactions using single-cell RNA sequencing data. </w:t>
      </w:r>
      <w:r>
        <w:rPr>
          <w:rFonts w:ascii="Arial" w:hAnsi="Arial"/>
          <w:b w:val="0"/>
          <w:i/>
          <w:color w:val="000000"/>
          <w:sz w:val="20"/>
        </w:rPr>
        <w:t>Brief. Bioinform.</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bbae283 (2024).</w:t>
      </w:r>
    </w:p>
    <w:p>
      <w:pPr>
        <w:spacing w:line="276" w:lineRule="auto" w:after="60"/>
      </w:pPr>
      <w:r>
        <w:rPr>
          <w:rFonts w:ascii="Arial" w:hAnsi="Arial"/>
          <w:b w:val="0"/>
          <w:i w:val="0"/>
          <w:color w:val="000000"/>
          <w:sz w:val="20"/>
        </w:rPr>
        <w:t xml:space="preserve">37. Skinnider, M. A. et al. Cell type prioritization in single-cell data.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39,</w:t>
      </w:r>
      <w:r>
        <w:rPr>
          <w:rFonts w:ascii="Arial" w:hAnsi="Arial"/>
          <w:b w:val="0"/>
          <w:i w:val="0"/>
          <w:color w:val="000000"/>
          <w:sz w:val="20"/>
        </w:rPr>
        <w:t xml:space="preserve"> 30–34 (2021).</w:t>
      </w:r>
    </w:p>
    <w:p>
      <w:pPr>
        <w:spacing w:line="276" w:lineRule="auto" w:after="60"/>
      </w:pPr>
      <w:r>
        <w:rPr>
          <w:rFonts w:ascii="Arial" w:hAnsi="Arial"/>
          <w:b w:val="0"/>
          <w:i w:val="0"/>
          <w:color w:val="000000"/>
          <w:sz w:val="20"/>
        </w:rPr>
        <w:t xml:space="preserve">38. Waxman, S. &amp; Wurmbach, E. De-regulation of common housekeeping genes in hepatocellular carcinoma. </w:t>
      </w:r>
      <w:r>
        <w:rPr>
          <w:rFonts w:ascii="Arial" w:hAnsi="Arial"/>
          <w:b w:val="0"/>
          <w:i/>
          <w:color w:val="000000"/>
          <w:sz w:val="20"/>
        </w:rPr>
        <w:t>BMC Genomics</w:t>
      </w:r>
      <w:r>
        <w:rPr>
          <w:rFonts w:ascii="Arial" w:hAnsi="Arial"/>
          <w:b w:val="0"/>
          <w:i w:val="0"/>
          <w:color w:val="000000"/>
          <w:sz w:val="20"/>
        </w:rPr>
        <w:t xml:space="preserve"> </w:t>
      </w:r>
      <w:r>
        <w:rPr>
          <w:rFonts w:ascii="Arial" w:hAnsi="Arial"/>
          <w:b/>
          <w:i w:val="0"/>
          <w:color w:val="000000"/>
          <w:sz w:val="20"/>
        </w:rPr>
        <w:t>8,</w:t>
      </w:r>
      <w:r>
        <w:rPr>
          <w:rFonts w:ascii="Arial" w:hAnsi="Arial"/>
          <w:b w:val="0"/>
          <w:i w:val="0"/>
          <w:color w:val="000000"/>
          <w:sz w:val="20"/>
        </w:rPr>
        <w:t xml:space="preserve"> 243 (2007).</w:t>
      </w:r>
    </w:p>
    <w:p>
      <w:pPr>
        <w:spacing w:line="276" w:lineRule="auto" w:after="60"/>
      </w:pPr>
      <w:r>
        <w:rPr>
          <w:rFonts w:ascii="Arial" w:hAnsi="Arial"/>
          <w:b w:val="0"/>
          <w:i w:val="0"/>
          <w:color w:val="000000"/>
          <w:sz w:val="20"/>
        </w:rPr>
        <w:t xml:space="preserve">39. Bakken, T. E. et al. Comparative cellular analysis of motor cortex in human, marmoset and mouse.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598,</w:t>
      </w:r>
      <w:r>
        <w:rPr>
          <w:rFonts w:ascii="Arial" w:hAnsi="Arial"/>
          <w:b w:val="0"/>
          <w:i w:val="0"/>
          <w:color w:val="000000"/>
          <w:sz w:val="20"/>
        </w:rPr>
        <w:t xml:space="preserve"> 111–119 (2021).</w:t>
      </w:r>
    </w:p>
    <w:p>
      <w:pPr>
        <w:spacing w:line="276" w:lineRule="auto" w:after="60"/>
      </w:pPr>
      <w:r>
        <w:rPr>
          <w:rFonts w:ascii="Arial" w:hAnsi="Arial"/>
          <w:b w:val="0"/>
          <w:i w:val="0"/>
          <w:color w:val="000000"/>
          <w:sz w:val="20"/>
        </w:rPr>
        <w:t xml:space="preserve">40. Marques, S. et al. Oligodendrocyte heterogeneity in the mouse juvenile and adult central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352,</w:t>
      </w:r>
      <w:r>
        <w:rPr>
          <w:rFonts w:ascii="Arial" w:hAnsi="Arial"/>
          <w:b w:val="0"/>
          <w:i w:val="0"/>
          <w:color w:val="000000"/>
          <w:sz w:val="20"/>
        </w:rPr>
        <w:t xml:space="preserve"> 1326–1329 (2016).</w:t>
      </w:r>
    </w:p>
    <w:p>
      <w:pPr>
        <w:spacing w:line="276" w:lineRule="auto" w:after="60"/>
      </w:pPr>
      <w:r>
        <w:rPr>
          <w:rFonts w:ascii="Arial" w:hAnsi="Arial"/>
          <w:b w:val="0"/>
          <w:i w:val="0"/>
          <w:color w:val="000000"/>
          <w:sz w:val="20"/>
        </w:rPr>
        <w:t xml:space="preserve">41. Spitzer, S. O. et al. Oligodendrocyte progenitor cells become regionally diverse and heterogeneous with age.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101,</w:t>
      </w:r>
      <w:r>
        <w:rPr>
          <w:rFonts w:ascii="Arial" w:hAnsi="Arial"/>
          <w:b w:val="0"/>
          <w:i w:val="0"/>
          <w:color w:val="000000"/>
          <w:sz w:val="20"/>
        </w:rPr>
        <w:t xml:space="preserve"> 459–471.e5 (2019).</w:t>
      </w:r>
    </w:p>
    <w:p>
      <w:pPr>
        <w:spacing w:line="276" w:lineRule="auto" w:after="60"/>
      </w:pPr>
      <w:r>
        <w:rPr>
          <w:rFonts w:ascii="Arial" w:hAnsi="Arial"/>
          <w:b w:val="0"/>
          <w:i w:val="0"/>
          <w:color w:val="000000"/>
          <w:sz w:val="20"/>
        </w:rPr>
        <w:t xml:space="preserve">42. Luecken, M. D. &amp; Theis, F. J. Current best practices in single-cell RNA-seq analysis: a tutorial. </w:t>
      </w:r>
      <w:r>
        <w:rPr>
          <w:rFonts w:ascii="Arial" w:hAnsi="Arial"/>
          <w:b w:val="0"/>
          <w:i/>
          <w:color w:val="000000"/>
          <w:sz w:val="20"/>
        </w:rPr>
        <w:t>Mol. Syst. Biol.</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e8746 (2019).</w:t>
      </w:r>
    </w:p>
    <w:p>
      <w:pPr>
        <w:spacing w:line="276" w:lineRule="auto" w:after="60"/>
      </w:pPr>
      <w:r>
        <w:rPr>
          <w:rFonts w:ascii="Arial" w:hAnsi="Arial"/>
          <w:b w:val="0"/>
          <w:i w:val="0"/>
          <w:color w:val="000000"/>
          <w:sz w:val="20"/>
        </w:rPr>
        <w:t xml:space="preserve">43. Lin, J. Divergence measures based on the Shannon entropy. </w:t>
      </w:r>
      <w:r>
        <w:rPr>
          <w:rFonts w:ascii="Arial" w:hAnsi="Arial"/>
          <w:b w:val="0"/>
          <w:i/>
          <w:color w:val="000000"/>
          <w:sz w:val="20"/>
        </w:rPr>
        <w:t>IEEE Trans. Inf. Theory</w:t>
      </w:r>
      <w:r>
        <w:rPr>
          <w:rFonts w:ascii="Arial" w:hAnsi="Arial"/>
          <w:b w:val="0"/>
          <w:i w:val="0"/>
          <w:color w:val="000000"/>
          <w:sz w:val="20"/>
        </w:rPr>
        <w:t xml:space="preserve"> </w:t>
      </w:r>
      <w:r>
        <w:rPr>
          <w:rFonts w:ascii="Arial" w:hAnsi="Arial"/>
          <w:b/>
          <w:i w:val="0"/>
          <w:color w:val="000000"/>
          <w:sz w:val="20"/>
        </w:rPr>
        <w:t>37,</w:t>
      </w:r>
      <w:r>
        <w:rPr>
          <w:rFonts w:ascii="Arial" w:hAnsi="Arial"/>
          <w:b w:val="0"/>
          <w:i w:val="0"/>
          <w:color w:val="000000"/>
          <w:sz w:val="20"/>
        </w:rPr>
        <w:t xml:space="preserve"> 145–151 (1991).</w:t>
      </w:r>
    </w:p>
    <w:p>
      <w:pPr>
        <w:spacing w:line="276" w:lineRule="auto" w:after="60"/>
      </w:pPr>
      <w:r>
        <w:rPr>
          <w:rFonts w:ascii="Arial" w:hAnsi="Arial"/>
          <w:b w:val="0"/>
          <w:i w:val="0"/>
          <w:color w:val="000000"/>
          <w:sz w:val="20"/>
        </w:rPr>
        <w:t xml:space="preserve">44. Benjamini, Y. &amp; Hochberg, Y. Controlling the false discovery rate: a practical and powerful approach to multiple testing. </w:t>
      </w:r>
      <w:r>
        <w:rPr>
          <w:rFonts w:ascii="Arial" w:hAnsi="Arial"/>
          <w:b w:val="0"/>
          <w:i/>
          <w:color w:val="000000"/>
          <w:sz w:val="20"/>
        </w:rPr>
        <w:t>J. R. Stat. Soc. Series B Stat. Methodol.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289–300 (1995).</w:t>
      </w:r>
    </w:p>
    <w:p>
      <w:pPr>
        <w:spacing w:line="276" w:lineRule="auto" w:after="60"/>
      </w:pPr>
      <w:r>
        <w:rPr>
          <w:rFonts w:ascii="Arial" w:hAnsi="Arial"/>
          <w:b w:val="0"/>
          <w:i w:val="0"/>
          <w:color w:val="000000"/>
          <w:sz w:val="20"/>
        </w:rPr>
        <w:t xml:space="preserve">45. Wolf, F. A., Angerer, P. &amp; Theis, F. J. SCANPY: large-scale single-cell gene expression data analysis.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19,</w:t>
      </w:r>
      <w:r>
        <w:rPr>
          <w:rFonts w:ascii="Arial" w:hAnsi="Arial"/>
          <w:b w:val="0"/>
          <w:i w:val="0"/>
          <w:color w:val="000000"/>
          <w:sz w:val="20"/>
        </w:rPr>
        <w:t xml:space="preserve"> 15 (2018).</w:t>
      </w:r>
    </w:p>
    <w:p>
      <w:pPr>
        <w:spacing w:line="276" w:lineRule="auto" w:after="60"/>
      </w:pPr>
      <w:r>
        <w:rPr>
          <w:rFonts w:ascii="Arial" w:hAnsi="Arial"/>
          <w:b w:val="0"/>
          <w:i w:val="0"/>
          <w:color w:val="000000"/>
          <w:sz w:val="20"/>
        </w:rPr>
        <w:t xml:space="preserve">46. Hao, Y. et al. Integrated analysis of multimodal single-cell data.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184,</w:t>
      </w:r>
      <w:r>
        <w:rPr>
          <w:rFonts w:ascii="Arial" w:hAnsi="Arial"/>
          <w:b w:val="0"/>
          <w:i w:val="0"/>
          <w:color w:val="000000"/>
          <w:sz w:val="20"/>
        </w:rPr>
        <w:t xml:space="preserve"> 3573–3587.e29 (2021).</w:t>
      </w:r>
    </w:p>
    <w:p>
      <w:pPr>
        <w:spacing w:line="276" w:lineRule="auto" w:after="60"/>
      </w:pPr>
      <w:r>
        <w:rPr>
          <w:rFonts w:ascii="Arial" w:hAnsi="Arial"/>
          <w:b w:val="0"/>
          <w:i w:val="0"/>
          <w:color w:val="000000"/>
          <w:sz w:val="20"/>
        </w:rPr>
        <w:t xml:space="preserve">47. Hao, Y. et al. Dictionary learning for integrative, multimodal and scalable single-cell analysis.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293–304 (2024).</w:t>
      </w:r>
    </w:p>
    <w:p>
      <w:pPr>
        <w:spacing w:line="276" w:lineRule="auto" w:after="60"/>
      </w:pPr>
      <w:r>
        <w:rPr>
          <w:rFonts w:ascii="Arial" w:hAnsi="Arial"/>
          <w:b w:val="0"/>
          <w:i w:val="0"/>
          <w:color w:val="000000"/>
          <w:sz w:val="20"/>
        </w:rPr>
        <w:t xml:space="preserve">48. CZI Cell Science Program. CZ CELLxGENE Discover: a single-cell data platform for scalable exploration, analysis and modeling of aggregated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53,</w:t>
      </w:r>
      <w:r>
        <w:rPr>
          <w:rFonts w:ascii="Arial" w:hAnsi="Arial"/>
          <w:b w:val="0"/>
          <w:i w:val="0"/>
          <w:color w:val="000000"/>
          <w:sz w:val="20"/>
        </w:rPr>
        <w:t xml:space="preserve"> D886–D900 (2025).</w:t>
      </w:r>
    </w:p>
    <w:p>
      <w:pPr>
        <w:spacing w:line="276" w:lineRule="auto" w:after="60"/>
      </w:pPr>
      <w:r>
        <w:rPr>
          <w:rFonts w:ascii="Arial" w:hAnsi="Arial"/>
          <w:b w:val="0"/>
          <w:i w:val="0"/>
          <w:color w:val="000000"/>
          <w:sz w:val="20"/>
        </w:rPr>
        <w:t xml:space="preserve">49. Weinstein, J. N. et al. The Cancer Genome Atlas Pan-Cancer analysis project. </w:t>
      </w:r>
      <w:r>
        <w:rPr>
          <w:rFonts w:ascii="Arial" w:hAnsi="Arial"/>
          <w:b w:val="0"/>
          <w:i/>
          <w:color w:val="000000"/>
          <w:sz w:val="20"/>
        </w:rPr>
        <w:t>Nat. Genet.</w:t>
      </w:r>
      <w:r>
        <w:rPr>
          <w:rFonts w:ascii="Arial" w:hAnsi="Arial"/>
          <w:b w:val="0"/>
          <w:i w:val="0"/>
          <w:color w:val="000000"/>
          <w:sz w:val="20"/>
        </w:rPr>
        <w:t xml:space="preserve"> </w:t>
      </w:r>
      <w:r>
        <w:rPr>
          <w:rFonts w:ascii="Arial" w:hAnsi="Arial"/>
          <w:b/>
          <w:i w:val="0"/>
          <w:color w:val="000000"/>
          <w:sz w:val="20"/>
        </w:rPr>
        <w:t>45,</w:t>
      </w:r>
      <w:r>
        <w:rPr>
          <w:rFonts w:ascii="Arial" w:hAnsi="Arial"/>
          <w:b w:val="0"/>
          <w:i w:val="0"/>
          <w:color w:val="000000"/>
          <w:sz w:val="20"/>
        </w:rPr>
        <w:t xml:space="preserve"> 1113–1120 (2013).</w:t>
      </w:r>
    </w:p>
    <w:p>
      <w:pPr>
        <w:spacing w:line="276" w:lineRule="auto" w:after="60"/>
      </w:pPr>
      <w:r>
        <w:rPr>
          <w:rFonts w:ascii="Arial" w:hAnsi="Arial"/>
          <w:b w:val="0"/>
          <w:i w:val="0"/>
          <w:color w:val="000000"/>
          <w:sz w:val="20"/>
        </w:rPr>
        <w:t xml:space="preserve">50. Colaprico, A. et al. TCGAbiolinks: an R/Bioconductor package for integrative analysis of TCGA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44,</w:t>
      </w:r>
      <w:r>
        <w:rPr>
          <w:rFonts w:ascii="Arial" w:hAnsi="Arial"/>
          <w:b w:val="0"/>
          <w:i w:val="0"/>
          <w:color w:val="000000"/>
          <w:sz w:val="20"/>
        </w:rPr>
        <w:t xml:space="preserve"> e71 (2016).</w:t>
      </w:r>
    </w:p>
    <w:p>
      <w:pPr>
        <w:spacing w:line="276" w:lineRule="auto" w:after="60"/>
      </w:pPr>
      <w:r>
        <w:rPr>
          <w:rFonts w:ascii="Arial" w:hAnsi="Arial"/>
          <w:b w:val="0"/>
          <w:i w:val="0"/>
          <w:color w:val="000000"/>
          <w:sz w:val="20"/>
        </w:rPr>
        <w:t xml:space="preserve">51. Cerami, E. et al. The cBio cancer genomics portal: an open platform for exploring multidimensional cancer genomics data. </w:t>
      </w:r>
      <w:r>
        <w:rPr>
          <w:rFonts w:ascii="Arial" w:hAnsi="Arial"/>
          <w:b w:val="0"/>
          <w:i/>
          <w:color w:val="000000"/>
          <w:sz w:val="20"/>
        </w:rPr>
        <w:t>Cancer Discov.</w:t>
      </w:r>
      <w:r>
        <w:rPr>
          <w:rFonts w:ascii="Arial" w:hAnsi="Arial"/>
          <w:b w:val="0"/>
          <w:i w:val="0"/>
          <w:color w:val="000000"/>
          <w:sz w:val="20"/>
        </w:rPr>
        <w:t xml:space="preserve"> </w:t>
      </w:r>
      <w:r>
        <w:rPr>
          <w:rFonts w:ascii="Arial" w:hAnsi="Arial"/>
          <w:b/>
          <w:i w:val="0"/>
          <w:color w:val="000000"/>
          <w:sz w:val="20"/>
        </w:rPr>
        <w:t>2,</w:t>
      </w:r>
      <w:r>
        <w:rPr>
          <w:rFonts w:ascii="Arial" w:hAnsi="Arial"/>
          <w:b w:val="0"/>
          <w:i w:val="0"/>
          <w:color w:val="000000"/>
          <w:sz w:val="20"/>
        </w:rPr>
        <w:t xml:space="preserve"> 401–404 (2012).</w:t>
      </w:r>
    </w:p>
    <w:p>
      <w:pPr>
        <w:spacing w:line="276" w:lineRule="auto" w:after="60"/>
      </w:pPr>
      <w:r>
        <w:rPr>
          <w:rFonts w:ascii="Arial" w:hAnsi="Arial"/>
          <w:b w:val="0"/>
          <w:i w:val="0"/>
          <w:color w:val="000000"/>
          <w:sz w:val="20"/>
        </w:rPr>
        <w:t xml:space="preserve">52. Perou, C. M. et al.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406,</w:t>
      </w:r>
      <w:r>
        <w:rPr>
          <w:rFonts w:ascii="Arial" w:hAnsi="Arial"/>
          <w:b w:val="0"/>
          <w:i w:val="0"/>
          <w:color w:val="000000"/>
          <w:sz w:val="20"/>
        </w:rPr>
        <w:t xml:space="preserve"> 747–752 (2000).</w:t>
      </w:r>
    </w:p>
    <w:p>
      <w:pPr>
        <w:spacing w:line="276" w:lineRule="auto" w:after="60"/>
      </w:pPr>
      <w:r>
        <w:rPr>
          <w:rFonts w:ascii="Arial" w:hAnsi="Arial"/>
          <w:b w:val="0"/>
          <w:i w:val="0"/>
          <w:color w:val="000000"/>
          <w:sz w:val="20"/>
        </w:rPr>
        <w:t xml:space="preserve">53. Parker, J. S. et al. Supervised risk predictor of breast cancer based on intrinsic subtypes. </w:t>
      </w:r>
      <w:r>
        <w:rPr>
          <w:rFonts w:ascii="Arial" w:hAnsi="Arial"/>
          <w:b w:val="0"/>
          <w:i/>
          <w:color w:val="000000"/>
          <w:sz w:val="20"/>
        </w:rPr>
        <w:t>J. Clin. Oncol.</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1160–1167 (2009).</w:t>
      </w:r>
    </w:p>
    <w:p>
      <w:pPr>
        <w:spacing w:line="276" w:lineRule="auto" w:after="60"/>
      </w:pPr>
      <w:r>
        <w:rPr>
          <w:rFonts w:ascii="Arial" w:hAnsi="Arial"/>
          <w:b w:val="0"/>
          <w:i w:val="0"/>
          <w:color w:val="000000"/>
          <w:sz w:val="20"/>
        </w:rPr>
        <w:t xml:space="preserve">54. Edmondson, H. A. &amp; Steiner, P. E. Primary carcinoma of the liver: a study of 100 cases among 48,900 necropsies. </w:t>
      </w:r>
      <w:r>
        <w:rPr>
          <w:rFonts w:ascii="Arial" w:hAnsi="Arial"/>
          <w:b w:val="0"/>
          <w:i/>
          <w:color w:val="000000"/>
          <w:sz w:val="20"/>
        </w:rPr>
        <w:t>Cancer</w:t>
      </w:r>
      <w:r>
        <w:rPr>
          <w:rFonts w:ascii="Arial" w:hAnsi="Arial"/>
          <w:b w:val="0"/>
          <w:i w:val="0"/>
          <w:color w:val="000000"/>
          <w:sz w:val="20"/>
        </w:rPr>
        <w:t xml:space="preserve"> </w:t>
      </w:r>
      <w:r>
        <w:rPr>
          <w:rFonts w:ascii="Arial" w:hAnsi="Arial"/>
          <w:b/>
          <w:i w:val="0"/>
          <w:color w:val="000000"/>
          <w:sz w:val="20"/>
        </w:rPr>
        <w:t>7,</w:t>
      </w:r>
      <w:r>
        <w:rPr>
          <w:rFonts w:ascii="Arial" w:hAnsi="Arial"/>
          <w:b w:val="0"/>
          <w:i w:val="0"/>
          <w:color w:val="000000"/>
          <w:sz w:val="20"/>
        </w:rPr>
        <w:t xml:space="preserve"> 462–503 (1954).</w:t>
      </w:r>
    </w:p>
    <w:p>
      <w:pPr>
        <w:spacing w:line="276" w:lineRule="auto" w:after="60"/>
      </w:pPr>
      <w:r>
        <w:rPr>
          <w:rFonts w:ascii="Arial" w:hAnsi="Arial"/>
          <w:b w:val="0"/>
          <w:i w:val="0"/>
          <w:color w:val="000000"/>
          <w:sz w:val="20"/>
        </w:rPr>
        <w:t xml:space="preserve">55. Waskom, M. L. seaborn: statistical data visualization. </w:t>
      </w:r>
      <w:r>
        <w:rPr>
          <w:rFonts w:ascii="Arial" w:hAnsi="Arial"/>
          <w:b w:val="0"/>
          <w:i/>
          <w:color w:val="000000"/>
          <w:sz w:val="20"/>
        </w:rPr>
        <w:t>J. Open Source Softw.</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3021 (2021).</w:t>
      </w:r>
    </w:p>
    <w:p>
      <w:pPr>
        <w:spacing w:line="276" w:lineRule="auto" w:after="60"/>
      </w:pPr>
      <w:r>
        <w:rPr>
          <w:rFonts w:ascii="Arial" w:hAnsi="Arial"/>
          <w:b w:val="0"/>
          <w:i w:val="0"/>
          <w:color w:val="000000"/>
          <w:sz w:val="20"/>
        </w:rPr>
        <w:t xml:space="preserve">56. Pedregosa, F. et al. Scikit-learn: machine learning in Python. </w:t>
      </w:r>
      <w:r>
        <w:rPr>
          <w:rFonts w:ascii="Arial" w:hAnsi="Arial"/>
          <w:b w:val="0"/>
          <w:i/>
          <w:color w:val="000000"/>
          <w:sz w:val="20"/>
        </w:rPr>
        <w:t>J. Mach. Learn. Res.</w:t>
      </w:r>
      <w:r>
        <w:rPr>
          <w:rFonts w:ascii="Arial" w:hAnsi="Arial"/>
          <w:b w:val="0"/>
          <w:i w:val="0"/>
          <w:color w:val="000000"/>
          <w:sz w:val="20"/>
        </w:rPr>
        <w:t xml:space="preserve"> </w:t>
      </w:r>
      <w:r>
        <w:rPr>
          <w:rFonts w:ascii="Arial" w:hAnsi="Arial"/>
          <w:b/>
          <w:i w:val="0"/>
          <w:color w:val="000000"/>
          <w:sz w:val="20"/>
        </w:rPr>
        <w:t>12,</w:t>
      </w:r>
      <w:r>
        <w:rPr>
          <w:rFonts w:ascii="Arial" w:hAnsi="Arial"/>
          <w:b w:val="0"/>
          <w:i w:val="0"/>
          <w:color w:val="000000"/>
          <w:sz w:val="20"/>
        </w:rPr>
        <w:t xml:space="preserve"> 2825–2830 (2011).</w:t>
      </w:r>
    </w:p>
    <w:p>
      <w:pPr>
        <w:spacing w:line="276" w:lineRule="auto" w:after="60"/>
      </w:pPr>
      <w:r>
        <w:rPr>
          <w:rFonts w:ascii="Arial" w:hAnsi="Arial"/>
          <w:b w:val="0"/>
          <w:i w:val="0"/>
          <w:color w:val="000000"/>
          <w:sz w:val="20"/>
        </w:rPr>
        <w:t>57. Efron, B. &amp; Tibshirani, R. J. An Introduction to the Bootstrap (Chapman and Hall/CRC, 1994).</w:t>
      </w:r>
    </w:p>
    <w:p>
      <w:pPr>
        <w:pStyle w:val="Heading1"/>
        <w:spacing w:before="420" w:after="160"/>
      </w:pPr>
      <w:r>
        <w:rPr>
          <w:rFonts w:ascii="Arial" w:hAnsi="Arial"/>
          <w:color w:val="000000"/>
          <w:sz w:val="28"/>
          <w:b/>
        </w:rPr>
        <w:t>Acknowledgements</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Author contributions</w:t>
      </w:r>
    </w:p>
    <w:p>
      <w:pPr>
        <w:spacing w:line="276" w:lineRule="auto" w:after="80"/>
        <w:ind w:firstLine="0"/>
      </w:pPr>
      <w:r>
        <w:rPr>
          <w:rFonts w:ascii="Arial" w:hAnsi="Arial"/>
          <w:b w:val="0"/>
          <w:i w:val="0"/>
          <w:color w:val="000000"/>
          <w:sz w:val="22"/>
        </w:rPr>
        <w:t>W.L. performed the analyses and wrote the first draft of the manuscript. J.Z. participated in the revision of the manuscript. L.Z. conceived and supervised the study, developed the CKI algorithm, acquired funding, and finalized the manuscript. All authors read and approved the final manuscript.</w:t>
      </w:r>
    </w:p>
    <w:p>
      <w:pPr>
        <w:pStyle w:val="Heading1"/>
        <w:spacing w:before="420" w:after="160"/>
      </w:pPr>
      <w:r>
        <w:rPr>
          <w:rFonts w:ascii="Arial" w:hAnsi="Arial"/>
          <w:color w:val="000000"/>
          <w:sz w:val="28"/>
          <w:b/>
        </w:rPr>
        <w:t>Competing interests</w:t>
      </w:r>
    </w:p>
    <w:p>
      <w:pPr>
        <w:spacing w:line="276" w:lineRule="auto" w:after="80"/>
        <w:ind w:firstLine="0"/>
      </w:pPr>
      <w:r>
        <w:rPr>
          <w:rFonts w:ascii="Arial" w:hAnsi="Arial"/>
          <w:b w:val="0"/>
          <w:i w:val="0"/>
          <w:color w:val="000000"/>
          <w:sz w:val="22"/>
        </w:rPr>
        <w:t>The authors declare no competing interests.</w:t>
      </w:r>
    </w:p>
    <w:p>
      <w:pPr>
        <w:spacing w:line="276" w:lineRule="auto" w:after="80"/>
        <w:ind w:firstLine="0"/>
      </w:pPr>
      <w:r>
        <w:rPr>
          <w:rFonts w:ascii="Arial" w:hAnsi="Arial"/>
          <w:b w:val="0"/>
          <w:i w:val="0"/>
          <w:color w:val="000000"/>
          <w:sz w:val="22"/>
        </w:rPr>
        <w:t>Supplementary Information is available for this paper: Supplementary Notes 1–20, Supplementary Figs. 1–9, Supplementary Tables 1–17, Supplementary Methods (Sections 5.1–5.14), Supplementary Data 1 (analysis script index), and the Reproducibility Guide (providing step-by-step instructions, the verified computational environment, and spot-check values for reproducing all analyses, figures, and tables reported in this work).</w:t>
      </w:r>
    </w:p>
    <w:p>
      <w:pPr>
        <w:spacing w:line="276" w:lineRule="auto" w:after="80"/>
        <w:ind w:firstLine="0"/>
      </w:pPr>
      <w:r>
        <w:rPr>
          <w:rFonts w:ascii="Arial" w:hAnsi="Arial"/>
          <w:b w:val="0"/>
          <w:i w:val="0"/>
          <w:color w:val="000000"/>
          <w:sz w:val="22"/>
        </w:rPr>
        <w:t>Correspondence and requests for materials should be addressed to L.Z.</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k_n—the constrained counterpart of the synonymous baseline—and identity gene divergence for k_f—the counterpart of nonsynonymous divergence; ω = k_f/k_n quantifies transcriptomic divergence relative to the baseline, read against the empirical calibration baseline rather than against 1; and the computational pipeline: raw count matrix → pseudobulk → JS divergence on HK genes (k_n) and identity genes (k_f) → ω = k_f/k_n. (b)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two-stage population-bootstrap 95% CI [6.38, 9.82]) by the dotted line. (c) Scatter plot of k_n vs. k_f, showing that functional variation dominates constrained baseline. (d) ω distribution with ω = 1 (the full-matching expectation for k_f = k_n, marked by dashed line) and the empirical calibration baseline ω = 7.70 indicated; ω = 1 is never observed in practice because identity-gene selection inflates k_f relative to k_n (see Results).</w:t>
      </w:r>
    </w:p>
    <w:p>
      <w:pPr>
        <w:spacing w:line="276" w:lineRule="auto" w:after="80"/>
        <w:ind w:firstLine="0"/>
      </w:pPr>
      <w:r>
        <w:rPr>
          <w:rFonts w:ascii="Arial" w:hAnsi="Arial"/>
          <w:b w:val="0"/>
          <w:i w:val="0"/>
          <w:color w:val="000000"/>
          <w:sz w:val="22"/>
        </w:rPr>
        <w:t>Figure 2. CKI calibration, metric correlation, functional-change detection in the ground-truth simulation, and neutral-drift calibration on technical replicates. (a) k_n calibration across six Tabula Muris cell types from control comparisons (random split of the same population); k_n is stable across cell types. (b) Component decomposition of k_n and k_f across four comparison categories (C, same-population random splits; S, same cell type cross-organ; D, cross-type same-organ; X, cross-type cross-organ) and ω distribution by category (log scale): k_f and ω increase monotonically with biological distance, while k_n varies little. (c) Spearman correlation heatmap of five metrics on 4,851 Tabula Sapiens pairs: CKI ω is negatively correlated with all four standard metrics, partly because k_n itself correlates positively with them (the ω denominator; see Results). (d) ROC curves for discriminating injected functional signal (δ ≥ 0.25) from neutral drift in the ground-truth simulation (marrow B-cell background; 600 functional versus 250 neutral replicates). CKI ω gave the highest AUC of six metrics (0.80, DeLong 95% CI [0.770, 0.838]; paired DeLong P = 2.4 × 10⁻¹⁷ versus runner-up k_f, ΔAUC = +0.088, module-seed cluster bootstrap [0.070, 0.108]); independent replication on a skin keratinocyte background gave AUC = 0.91. (e) Neutral-drift calibration on the Kang IFN-β PBMC technical replicates (30 same-donor cross-lane pairs, n-matched null, B = 200): ω FPR = 0 of 30 versus 36.7% raw JS and 23.3% cosine; and brain T1/T2 (technical/donor) FPRs: ω misreports least among the continuous divergence metrics at both tiers (T1: 28.6% versus 35.7–45.2%; paired McNemar exact P ≤ 4.1 × 10⁻¹²); marker Jaccard is lower still on the false-positive statistic (T1 19.9%, T2 74.7%; versus ω on T1, paired McNemar P = 5.6 × 10⁻²¹). (f) Brain calibration distributions (observed / own n-matched null median; log scale) across the three-tier drift ladder (T1: 2,161 pairs, pure technical drift; T2: 1,089, cross-donor; T3: 1,656, cross-region within donor, positive control): ω stays near 1 at T1 with the shallowest gradient to T3 (T3 calibration 1.80 versus 2.98 for raw JS); marker Jaccard responds weakest to real regional divergence (T3 calibration 1.41 versus 1.80 for ω) and offers no k_n/k_f decomposition.</w:t>
      </w:r>
    </w:p>
    <w:p>
      <w:pPr>
        <w:spacing w:line="276" w:lineRule="auto" w:after="80"/>
        <w:ind w:firstLine="0"/>
      </w:pPr>
      <w:r>
        <w:rPr>
          <w:rFonts w:ascii="Arial" w:hAnsi="Arial"/>
          <w:b w:val="0"/>
          <w:i w:val="0"/>
          <w:color w:val="000000"/>
          <w:sz w:val="22"/>
        </w:rPr>
        <w:t>Figure 3. Pan-cancer tissue-level divergence in tumors. (a) Ratio of mean normal–normal (NN) to tumor–tumor (TT) ω per cancer type (blue; ranked by effect size), with sample-level cluster-bootstrap 95% CIs (B = 1,000); the amber axis shows the corresponding tumor/normal ratio of the housekeeping baseline k_n (TT/NN, means with 95% CIs), which exceeds 1 in all five cancer types while the NN/TT ratio of k_f does not—the reversal is denominator-driven. The two axes use independent scales so that both series remain legible. Dotted line, ratio = 1. (b) Per-tumor ω in LUAD by driver mutation (wild-type n = 311, EGFR-mutant n = 61, KRAS-mutant n = 120; boxes, median and IQR; points, individual tumors). Kruskal-Wallis P = 7.8 × 10⁻⁷; brackets, Dunn post-hoc P-values with Holm correction. (c, d) The same stratification for the components k_f (c) and k_n (d): the KRAS contrast carries a functional component (KRAS &gt; EGFR under k_f alone, P_Holm = 0.015; KRAS versus WT retained after purity and smoking adjustment, adjusted P = 0.009 and 0.029) together with a lower k_n baseline (WT &gt; KRAS, P_Holm = 4.2 × 10⁻⁴), whereas the apparent EGFR elevation dissolved under purity adjustment (all adjusted P &gt; 0.4), consistent with an admixture artefact rather than a baseline shift. All values from the linear-normalization re-computation (Methods).</w:t>
      </w:r>
    </w:p>
    <w:p>
      <w:pPr>
        <w:spacing w:line="276" w:lineRule="auto" w:after="80"/>
        <w:ind w:firstLine="0"/>
      </w:pPr>
      <w:r>
        <w:rPr>
          <w:rFonts w:ascii="Arial" w:hAnsi="Arial"/>
          <w:b w:val="0"/>
          <w:i w:val="0"/>
          <w:color w:val="000000"/>
          <w:sz w:val="22"/>
        </w:rPr>
        <w:t>Figure 4.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Top 5 conserved cell-type pairs with the lowest cross-organ ω values.</w:t>
      </w:r>
    </w:p>
    <w:p>
      <w:pPr>
        <w:spacing w:line="276" w:lineRule="auto" w:after="80"/>
        <w:ind w:firstLine="0"/>
      </w:pPr>
      <w:r>
        <w:rPr>
          <w:rFonts w:ascii="Arial" w:hAnsi="Arial"/>
          <w:b w:val="0"/>
          <w:i w:val="0"/>
          <w:color w:val="000000"/>
          <w:sz w:val="22"/>
        </w:rPr>
        <w:t>Figure 5. Brain regional cell-type differentiation, region-association inference, and neuronal superclass divergence. (a) Brain region map schematic showing anatomical regions analyzed in the Siletti et al. atlas. (b) ω gradient across 10 non-neuronal cell classes (mean ω per class, block-shuffle observed landscape): Bergmann glia and vascular cells lowest (mean ω = 13.56), astrocytes highest (82.75); the 6.10-fold raw gradient is an uncorrected upper bound, and the combined span- and size-matched control gives 3.66-fold observed (donor-level bootstrap median 3.28, 95% CI [1.92, 3.78]) (Supplementary Note 11), and the signal is dominated by the k_n denominator (3.21-fold k_n versus 2.03-fold k_f at the endpoint contrast; see Results). (c) Region-associated candidate detection: the multiplicative residual model identifies 39 Strong candidates (residual &lt; 0.3, ω &lt; 15, lowest ω in pair) among 31,764 cross-region comparisons; a design-matched null expects 148.3, so the observed 39 are anti-enriched (P(null count ≥ 39) = 1.0), none survives FDR correction, and only 3 of 39 are retained under a global-k_n estimator—the catalogue is hypothesis-generating. (d) Observed vs. expected ω for the five strongest Strong candidates across all cell classes (lowest residuals), showing the gap between observed regional similarity and the cell-type-specific expectation. (e) Sample-level block-shuffle null for the three neuronal superclasses (grey violins, B = 1,000 permutations preserving the per-region library-count multiset; dark dash = null mean; red dot = observed mean regional ω): MGE interneurons sit at the permutation floor (P = 0.001, SES = 7.2); upper-layer intratelencephalic neurons P = 0.014; thalamic excitatory neurons P = 0.163. (f) Median pair ω across the three neuronal superclasses (purple) and the ten non-neuronal classes (grey; astrocytes highlighted in red): neuronal medians 59.3–64.2 versus a non-neuronal median of 24.5 excluding astrocytes (descriptive cross-class contrast: one-sided Mann–Whitney z = 52.6, P &lt; 10⁻³⁰⁰, pseudoreplicated at the pair level), so the non-neuronal screen understates atlas-wide regional divergence (Supplementary Note 18; Supplementary Fig. 7; Supplementary Table 11).</w:t>
      </w:r>
    </w:p>
    <w:p>
      <w:pPr>
        <w:spacing w:line="276" w:lineRule="auto" w:after="80"/>
        <w:ind w:firstLine="0"/>
      </w:pPr>
      <w:r>
        <w:rPr>
          <w:rFonts w:ascii="Arial" w:hAnsi="Arial"/>
          <w:b w:val="0"/>
          <w:i w:val="0"/>
          <w:color w:val="000000"/>
          <w:sz w:val="22"/>
        </w:rPr>
        <w:t>Table 1. Cross-organ conservation ranking by cell type (Tabula Sapiens, n = 59 same-cell-type cross-organ pairs). Well-sampled cell types (n ≥ 5 cross-organ pairs) are ranked first by mean ω; sparsely sampled cell types (n &lt; 5 pairs; SD shown only where n &gt; 1) are listed below the divider, and their rankings should be interpreted as suggestive only. Because the k_n anchor is not calibrated across cell types (Discussion), cross-type gaps in mean ω are descriptive rather than calibrated. k_f-only controls for this ranking are reported in Supplementary Note 5. The table is provided as a separate file (CKI_Tables_NC.xlsx).</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