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0"/>
      </w:pPr>
      <w:r>
        <w:t>Dear Editors,</w:t>
      </w:r>
    </w:p>
    <w:p>
      <w:pPr>
        <w:spacing w:line="240" w:lineRule="auto" w:after="80" w:before="0"/>
      </w:pPr>
      <w:r>
        <w:t>On behalf of my co-author, Dr. Xianming Wu (Chinese Institute for Brain Research, Beijing), I submit our manuscript, “CKI is a Ka/Ks-inspired index quantifying functional divergence in single-cell genomics”, for consideration as an Article in Nature Communications. CKI (Cell-type Ka/Ks-inspired Index) is, to our knowledge, the first per-comparison, design-testable implementation of a principled separation of functional divergence from background drift in transcriptomic comparisons: adapting the Ka/Ks ratio’s logic, it decomposes divergence into a housekeeping baseline k_n and an identity-gene rate k_f (ω = k_f/k_n). The work fits Nature Communications’ scope of computational methods validated on large-scale real data.</w:t>
      </w:r>
    </w:p>
    <w:p>
      <w:pPr>
        <w:spacing w:line="240" w:lineRule="auto" w:after="80" w:before="0"/>
      </w:pPr>
      <w:r>
        <w:t>The manuscript rests on three pillars. First, in ground-truth simulation (1,750 replicates per background, two backgrounds), ω alone did not false-trigger on neutral housekeeping drift (false-positive rate 0.00 versus 0.55–0.58 for JS and cosine) and ranked first for functional-versus-neutral discrimination (AUC = 0.80). Second, in real-data drift calibration, ω raised no false reports on any of the 30 cross-lane technical-replicate pairs (Kang IFN-β PBMC data; raw JS 36.7%, cosine 23.3%) and, on 2,161 brain technical-drift pairs, had the lowest false-report rate among the continuous divergence metrics (28.6% versus 35.7–45.2% for the other five; below raw JS in all ten cell classes), with the shallowest drift-ladder gradient (1.04 → 1.76 → 1.80 versus 1.07 → 3.32 → 2.98 for raw JS). Third, across 3,567 TCGA samples in five cancer types, tumor specimens were consistently less divergent than adjacent non-tumor tissue (NN/TT ω ratio 1.10–2.46, bootstrap CIs excluding 1 in four of five)—reflecting a 1.3–3.3-fold elevated housekeeping baseline, not reduced functional divergence; and in lung adenocarcinoma the k_f/k_n decomposition separates KRAS-mutant tumors—retaining both a functional (k_f) and a baseline (k_n) component after purity and smoking adjustment—from EGFR-mutant tumors, whose apparent association dissolved under purity adjustment.</w:t>
      </w:r>
    </w:p>
    <w:p>
      <w:pPr>
        <w:spacing w:line="240" w:lineRule="auto" w:after="80" w:before="0"/>
      </w:pPr>
      <w:r>
        <w:t>Two properties of this work are worth stating explicitly. CKI is a specificity-first index, designed to detect dynamic cell-state changes rather than to discriminate static cell types: on the benchmark matched to its question domain—false divergence calls on real technical and donor drift—it misreports least among the continuous divergence metrics while retaining sensitivity to biology (Fig. 3); in the ground-truth simulation it ranks first of six metrics at separating injected functional change from neutral drift (AUC = 0.80; Fig. 2e). And the pan-cancer divergence map, with the lung adenocarcinoma driver-class decomposition, grounds the method in cancer biology of direct interest to a broad readership (Fig. 4).</w:t>
      </w:r>
    </w:p>
    <w:p>
      <w:pPr>
        <w:spacing w:line="240" w:lineRule="auto" w:after="80" w:before="0"/>
      </w:pPr>
      <w:r>
        <w:t>We suggest the following reviewers, none with recent collaborations or conflicts of interest with the authors: Prof. Fabian Theis, Helmholtz Munich (fabian.theis@helmholtz-munich.de); Prof. Joshua Welch, University of Michigan (welchjd@umich.edu); Prof. Sten Linnarsson, Karolinska Institutet (sten.linnarsson@ki.se); Prof. Patrik Ståhl, KTH / SciLifeLab (patrik.stahl@scilifelab.se); Dr. Alejandro A. Schäffer, National Cancer Institute, NIH (schaffer@ncbi.nlm.nih.gov); and Prof. Zemin Zhang, Peking University (zeminzhang@pku.edu.cn).</w:t>
      </w:r>
    </w:p>
    <w:p>
      <w:pPr>
        <w:spacing w:line="240" w:lineRule="auto" w:after="80" w:before="0"/>
      </w:pPr>
      <w:r>
        <w:t>Thank you for considering our work.</w:t>
      </w:r>
    </w:p>
    <w:p>
      <w:pPr>
        <w:spacing w:line="240" w:lineRule="auto" w:after="240" w:before="0"/>
      </w:pPr>
      <w:r>
        <w:t>Sincerely,</w:t>
      </w:r>
    </w:p>
    <w:p>
      <w:pPr>
        <w:spacing w:line="240" w:lineRule="auto" w:after="0" w:before="0"/>
      </w:pPr>
      <w:r>
        <w:t>Li Zhang (Corresponding Author)</w:t>
      </w:r>
    </w:p>
    <w:p>
      <w:pPr>
        <w:spacing w:line="240" w:lineRule="auto" w:after="0" w:before="0"/>
      </w:pPr>
      <w:r>
        <w:t>Xianming Wu (First Author)</w:t>
      </w:r>
    </w:p>
    <w:p>
      <w:pPr>
        <w:spacing w:line="240" w:lineRule="auto" w:after="0" w:before="0"/>
      </w:pPr>
      <w:r>
        <w:t>ORCID (corresponding author): Li Zhang 0000-0002-0698-0754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