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line="276" w:lineRule="auto"/>
        <w:jc w:val="center"/>
      </w:pPr>
      <w:r>
        <w:rPr>
          <w:rFonts w:ascii="Times New Roman" w:hAnsi="Times New Roman" w:eastAsia="Times New Roman" w:cs="Times New Roman"/>
          <w:b/>
          <w:i w:val="0"/>
          <w:color w:val="000000"/>
          <w:sz w:val="32"/>
        </w:rPr>
        <w:t>Fusang: Tardigrade Edition — K-mer Frequency Vector Alignment-Free Phylogenetic Inference Resilient to Indel-Rich Sequence Evolution</w:t>
      </w:r>
    </w:p>
    <w:p>
      <w:pPr>
        <w:spacing w:after="120" w:line="360" w:lineRule="auto"/>
      </w:pPr>
      <w:r>
        <w:rPr>
          <w:rFonts w:ascii="Times New Roman" w:hAnsi="Times New Roman" w:eastAsia="Times New Roman" w:cs="Times New Roman"/>
          <w:b/>
          <w:i w:val="0"/>
          <w:color w:val="000000"/>
          <w:sz w:val="24"/>
        </w:rPr>
        <w:t>Target Journal</w:t>
      </w:r>
      <w:r>
        <w:rPr>
          <w:rFonts w:ascii="Times New Roman" w:hAnsi="Times New Roman" w:eastAsia="Times New Roman" w:cs="Times New Roman"/>
          <w:b w:val="0"/>
          <w:i w:val="0"/>
          <w:color w:val="000000"/>
          <w:sz w:val="24"/>
        </w:rPr>
        <w:t>: Nucleic Acids Research (NAR) — Methods Article</w:t>
      </w:r>
    </w:p>
    <w:p>
      <w:pPr>
        <w:spacing w:after="120" w:line="360" w:lineRule="auto"/>
      </w:pPr>
      <w:r>
        <w:rPr>
          <w:rFonts w:ascii="Times New Roman" w:hAnsi="Times New Roman" w:eastAsia="Times New Roman" w:cs="Times New Roman"/>
          <w:b/>
          <w:i w:val="0"/>
          <w:color w:val="000000"/>
          <w:sz w:val="24"/>
        </w:rPr>
        <w:t>Manuscript Type</w:t>
      </w:r>
      <w:r>
        <w:rPr>
          <w:rFonts w:ascii="Times New Roman" w:hAnsi="Times New Roman" w:eastAsia="Times New Roman" w:cs="Times New Roman"/>
          <w:b w:val="0"/>
          <w:i w:val="0"/>
          <w:color w:val="000000"/>
          <w:sz w:val="24"/>
        </w:rPr>
        <w:t>: Computational Biology / Phylogenetics</w:t>
      </w:r>
    </w:p>
    <w:p>
      <w:pPr>
        <w:spacing w:after="120" w:line="360" w:lineRule="auto"/>
      </w:pPr>
      <w:r>
        <w:rPr>
          <w:rFonts w:ascii="Times New Roman" w:hAnsi="Times New Roman" w:eastAsia="Times New Roman" w:cs="Times New Roman"/>
          <w:b/>
          <w:i w:val="0"/>
          <w:color w:val="000000"/>
          <w:sz w:val="24"/>
        </w:rPr>
        <w:t>Running Title</w:t>
      </w:r>
      <w:r>
        <w:rPr>
          <w:rFonts w:ascii="Times New Roman" w:hAnsi="Times New Roman" w:eastAsia="Times New Roman" w:cs="Times New Roman"/>
          <w:b w:val="0"/>
          <w:i w:val="0"/>
          <w:color w:val="000000"/>
          <w:sz w:val="24"/>
        </w:rPr>
        <w:t>: K-mer frequency vector phylogenetics</w:t>
      </w:r>
    </w:p>
    <w:p>
      <w:pPr>
        <w:spacing w:after="120" w:line="360" w:lineRule="auto"/>
      </w:pPr>
      <w:r>
        <w:rPr>
          <w:rFonts w:ascii="Times New Roman" w:hAnsi="Times New Roman" w:eastAsia="Times New Roman" w:cs="Times New Roman"/>
          <w:b/>
          <w:i w:val="0"/>
          <w:color w:val="000000"/>
          <w:sz w:val="24"/>
        </w:rPr>
        <w:t>Keywords</w:t>
      </w:r>
      <w:r>
        <w:rPr>
          <w:rFonts w:ascii="Times New Roman" w:hAnsi="Times New Roman" w:eastAsia="Times New Roman" w:cs="Times New Roman"/>
          <w:b w:val="0"/>
          <w:i w:val="0"/>
          <w:color w:val="000000"/>
          <w:sz w:val="24"/>
        </w:rPr>
        <w:t>: alignment-free phylogenetics, k-mer frequency vector, cosine distance, indel robustness, multi-k ensemble, Neighbor-Joining, phylogenetic software</w:t>
      </w:r>
    </w:p>
    <w:p>
      <w:pPr>
        <w:spacing w:after="120" w:line="360" w:lineRule="auto"/>
      </w:pPr>
      <w:r>
        <w:rPr>
          <w:rFonts w:ascii="Times New Roman" w:hAnsi="Times New Roman" w:eastAsia="Times New Roman" w:cs="Times New Roman"/>
          <w:b/>
          <w:i w:val="0"/>
          <w:color w:val="000000"/>
          <w:sz w:val="24"/>
        </w:rPr>
        <w:t>Authors</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Lei Kong¹ and Li Zhang²·³·⁴,*</w:t>
      </w:r>
    </w:p>
    <w:p>
      <w:pPr>
        <w:spacing w:after="120" w:line="360" w:lineRule="auto"/>
      </w:pPr>
      <w:r>
        <w:rPr>
          <w:rFonts w:ascii="Times New Roman" w:hAnsi="Times New Roman" w:eastAsia="Times New Roman" w:cs="Times New Roman"/>
          <w:b w:val="0"/>
          <w:i w:val="0"/>
          <w:color w:val="000000"/>
          <w:sz w:val="24"/>
        </w:rPr>
        <w:t>¹ School of Life Sciences, Peking University, Beijing, China</w:t>
      </w:r>
    </w:p>
    <w:p>
      <w:pPr>
        <w:spacing w:after="120" w:line="360" w:lineRule="auto"/>
      </w:pPr>
      <w:r>
        <w:rPr>
          <w:rFonts w:ascii="Times New Roman" w:hAnsi="Times New Roman" w:eastAsia="Times New Roman" w:cs="Times New Roman"/>
          <w:b w:val="0"/>
          <w:i w:val="0"/>
          <w:color w:val="000000"/>
          <w:sz w:val="24"/>
        </w:rPr>
        <w:t>² Institute of Blood Transfusion, Chinese Academy of Medical Sciences and Peking Union Medical College, Chengdu, China</w:t>
      </w:r>
    </w:p>
    <w:p>
      <w:pPr>
        <w:spacing w:after="120" w:line="360" w:lineRule="auto"/>
      </w:pPr>
      <w:r>
        <w:rPr>
          <w:rFonts w:ascii="Times New Roman" w:hAnsi="Times New Roman" w:eastAsia="Times New Roman" w:cs="Times New Roman"/>
          <w:b w:val="0"/>
          <w:i w:val="0"/>
          <w:color w:val="000000"/>
          <w:sz w:val="24"/>
        </w:rPr>
        <w:t>³ Chinese Institute for Brain Research, Beijing, China</w:t>
      </w:r>
    </w:p>
    <w:p>
      <w:pPr>
        <w:spacing w:after="120" w:line="360" w:lineRule="auto"/>
      </w:pPr>
      <w:r>
        <w:rPr>
          <w:rFonts w:ascii="Times New Roman" w:hAnsi="Times New Roman" w:eastAsia="Times New Roman" w:cs="Times New Roman"/>
          <w:b w:val="0"/>
          <w:i w:val="0"/>
          <w:color w:val="000000"/>
          <w:sz w:val="24"/>
        </w:rPr>
        <w:t>⁴ Translational Medical Center, Weifang Second People's Hospital, 7 Yuanxiao St., Weifang, 261041, Shandong Province, China</w:t>
      </w:r>
    </w:p>
    <w:p>
      <w:pPr>
        <w:pStyle w:val="ListBullet"/>
        <w:spacing w:after="60" w:line="360" w:lineRule="auto"/>
      </w:pPr>
      <w:r>
        <w:rPr>
          <w:rFonts w:ascii="Times New Roman" w:hAnsi="Times New Roman" w:eastAsia="Times New Roman" w:cs="Times New Roman"/>
          <w:b w:val="0"/>
          <w:i w:val="0"/>
          <w:color w:val="000000"/>
          <w:sz w:val="24"/>
        </w:rPr>
        <w:t>To whom correspondence should be addressed. Email: knightz@pumc.edu.cn</w:t>
      </w:r>
    </w:p>
    <w:p>
      <w:pPr>
        <w:keepNext/>
        <w:spacing w:before="240" w:after="120" w:line="276" w:lineRule="auto"/>
      </w:pPr>
      <w:r>
        <w:rPr>
          <w:rFonts w:ascii="Times New Roman" w:hAnsi="Times New Roman" w:eastAsia="Times New Roman" w:cs="Times New Roman"/>
          <w:b/>
          <w:i w:val="0"/>
          <w:color w:val="000000"/>
          <w:sz w:val="28"/>
        </w:rPr>
        <w:t>ABSTRACT</w:t>
      </w:r>
    </w:p>
    <w:p>
      <w:pPr>
        <w:spacing w:after="120" w:line="360" w:lineRule="auto"/>
      </w:pPr>
      <w:r>
        <w:rPr>
          <w:rFonts w:ascii="Times New Roman" w:hAnsi="Times New Roman" w:eastAsia="Times New Roman" w:cs="Times New Roman"/>
          <w:b w:val="0"/>
          <w:i w:val="0"/>
          <w:color w:val="000000"/>
          <w:sz w:val="24"/>
        </w:rPr>
        <w:t>Multiple sequence alignment (MSA) scales poorly with dataset size and introduces systematic errors under insertions and deletions (indels), yet alignment-free methods have historically underperformed MSA-based maximum likelihood (ML) approaches. We present Fusang: Tardigrade Edition, an alignment-free phylogenetics tool that infers trees directly from unaligned input — with automatic parameter selection, a multi-k distance ensemble that removes manual k choice, and a random-forest boundary classifier that maps its domain of applicability. Its inference engine, k-mer frequency vector cosine distances (spaced and contiguous patterns, systematically evaluated here), is numerically, but not statistically, better than FastTree2 on simulated indel-rich data at n=200 (indel rate=0.02: nRF=0.199±0.030 vs 0.205±0.030, 130 seeds, Wilcoxon p=0.0507 — borderline at α=0.05, not significant after correction, and reversed at n=1000 indel, where FastTree2 is significantly better), while MSA methods retain a significant advantage on clean data at every scale tested. The multi-k ensemble reduces topological error by 8.7% relative to single-k under indel-rich simulation (nRF=0.137±0.023 vs 0.150±0.026, 30 seeds, p=0.0018), reaching to within ~11% of MAFFT+FastTree2 (0.124±0.026) without alignment but not matching it (p=0.0024 in favour of MSA+ML). On a real indel-rich mitochondrial benchmark (25 genomes, 9.1% gaps), the ensemble reaches the community-benchmark ceiling — nRF=0.045, matched by MSA+ML and all best published alignment-free methods on this single small dataset. MinHash (Mash) is far less accurate than k-mer cosine on gene-length data in both conditions (clean 0.349 vs 0.236; indel 0.403 vs 0.193; 30 seeds, Fusang better in 30/30 seeds, d≈3.1 and 2.6), and the two respond to indels in opposite directions — Mash degrades modestly (1.16×) while k-mer cosine improves (0.83×). At gene length, contiguous k=7 (0.194) and the multi-k ensemble (0.194) are both significantly more accurate than Fusang's default spaced+NNI pipeline (0.199, p=0.0039 and 0.0077), which we therefore present as a robust rather than an optimal default. Cross-domain validation on 11 SwissTree protein families confirms k-mer frequency methods outperform context-matching by 2.2–2.4× (p=0.0010–0.0020). The boundary classifier separates homogeneous from structured datasets (150/150 simulated scenarios). Fusang infers trees for 10,000 taxa in ~70 s on a 4-core workstation, with pre-compiled binaries for Windows and Linux.</w:t>
      </w:r>
    </w:p>
    <w:p>
      <w:pPr>
        <w:keepNext/>
        <w:spacing w:before="240" w:after="120" w:line="276" w:lineRule="auto"/>
      </w:pPr>
      <w:r>
        <w:rPr>
          <w:rFonts w:ascii="Times New Roman" w:hAnsi="Times New Roman" w:eastAsia="Times New Roman" w:cs="Times New Roman"/>
          <w:b/>
          <w:i w:val="0"/>
          <w:color w:val="000000"/>
          <w:sz w:val="28"/>
        </w:rPr>
        <w:t>INTRODUCTION</w:t>
      </w:r>
    </w:p>
    <w:p>
      <w:pPr>
        <w:spacing w:after="120" w:line="360" w:lineRule="auto"/>
      </w:pPr>
      <w:r>
        <w:rPr>
          <w:rFonts w:ascii="Times New Roman" w:hAnsi="Times New Roman" w:eastAsia="Times New Roman" w:cs="Times New Roman"/>
          <w:b w:val="0"/>
          <w:i w:val="0"/>
          <w:color w:val="000000"/>
          <w:sz w:val="24"/>
        </w:rPr>
        <w:t>Phylogenetic inference is foundational to evolutionary biology, from tracing viral outbreaks [1] to reconstructing the tree of life [2].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[3,4,5]. Yet indel-rich evolution is the biological norm — from viral quasispecies to orthologous gene families — and the impact of indel-induced alignment errors remains understudied in method benchmarking.</w:t>
      </w:r>
    </w:p>
    <w:p>
      <w:pPr>
        <w:keepNext/>
        <w:spacing w:before="200" w:after="120" w:line="276" w:lineRule="auto"/>
      </w:pPr>
      <w:r>
        <w:rPr>
          <w:rFonts w:ascii="Times New Roman" w:hAnsi="Times New Roman" w:eastAsia="Times New Roman" w:cs="Times New Roman"/>
          <w:b/>
          <w:i w:val="0"/>
          <w:color w:val="000000"/>
          <w:sz w:val="26"/>
        </w:rPr>
        <w:t>The Fusang lineage: from deep learning to k-mer features</w:t>
      </w:r>
    </w:p>
    <w:p>
      <w:pPr>
        <w:spacing w:after="120" w:line="360" w:lineRule="auto"/>
      </w:pPr>
      <w:r>
        <w:rPr>
          <w:rFonts w:ascii="Times New Roman" w:hAnsi="Times New Roman" w:eastAsia="Times New Roman" w:cs="Times New Roman"/>
          <w:b w:val="0"/>
          <w:i w:val="0"/>
          <w:color w:val="000000"/>
          <w:sz w:val="24"/>
        </w:rPr>
        <w:t>We previously introduced Fusang v1 [6],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p>
      <w:pPr>
        <w:keepNext/>
        <w:spacing w:before="200" w:after="120" w:line="276" w:lineRule="auto"/>
      </w:pPr>
      <w:r>
        <w:rPr>
          <w:rFonts w:ascii="Times New Roman" w:hAnsi="Times New Roman" w:eastAsia="Times New Roman" w:cs="Times New Roman"/>
          <w:b/>
          <w:i w:val="0"/>
          <w:color w:val="000000"/>
          <w:sz w:val="26"/>
        </w:rPr>
        <w:t>K-mer frequency vectors in phylogenetics: status and opportunities</w:t>
      </w:r>
    </w:p>
    <w:p>
      <w:pPr>
        <w:spacing w:after="120" w:line="360" w:lineRule="auto"/>
      </w:pPr>
      <w:r>
        <w:rPr>
          <w:rFonts w:ascii="Times New Roman" w:hAnsi="Times New Roman" w:eastAsia="Times New Roman" w:cs="Times New Roman"/>
          <w:b w:val="0"/>
          <w:i w:val="0"/>
          <w:color w:val="000000"/>
          <w:sz w:val="24"/>
        </w:rPr>
        <w:t xml:space="preserve">K-mer frequency vectors have been applied to multiple sequence analysis tasks including protein classification [7], metagenomic binning [8], and genome assembly. In phylogenetic inference, prior alignment-free work (reviewed in [9,10]) includes hierarchical phylogenomic inference [11], kmacs [12] (gapped k-mismatch substring matching), spaced-word frequency methods [13], and the Alfpy toolkit with the AFproject benchmark [14], which provides standardized implementations of multiple alignment-free methods including gapped k-mer variants. Despite these foundations, </w:t>
      </w:r>
      <w:r>
        <w:rPr>
          <w:rFonts w:ascii="Times New Roman" w:hAnsi="Times New Roman" w:eastAsia="Times New Roman" w:cs="Times New Roman"/>
          <w:b/>
          <w:i w:val="0"/>
          <w:color w:val="000000"/>
          <w:sz w:val="24"/>
        </w:rPr>
        <w:t>k-mer frequency vectors (spaced and contiguous) have not been systematically evaluated for phylogenetic inference under realistic evolutionary conditions (indel-rich sequences).</w:t>
      </w:r>
      <w:r>
        <w:rPr>
          <w:rFonts w:ascii="Times New Roman" w:hAnsi="Times New Roman" w:eastAsia="Times New Roman" w:cs="Times New Roman"/>
          <w:b w:val="0"/>
          <w:i w:val="0"/>
          <w:color w:val="000000"/>
          <w:sz w:val="24"/>
        </w:rPr>
        <w:t xml:space="preserve"> The contributions of this work are therefore twofold: (i) a systematic evaluation of </w:t>
      </w:r>
      <w:r>
        <w:rPr>
          <w:rFonts w:ascii="Times New Roman" w:hAnsi="Times New Roman" w:eastAsia="Times New Roman" w:cs="Times New Roman"/>
          <w:b/>
          <w:i w:val="0"/>
          <w:color w:val="000000"/>
          <w:sz w:val="24"/>
        </w:rPr>
        <w:t>k-mer frequency vector cosine distances</w:t>
      </w:r>
      <w:r>
        <w:rPr>
          <w:rFonts w:ascii="Times New Roman" w:hAnsi="Times New Roman" w:eastAsia="Times New Roman" w:cs="Times New Roman"/>
          <w:b w:val="0"/>
          <w:i w:val="0"/>
          <w:color w:val="000000"/>
          <w:sz w:val="24"/>
        </w:rPr>
        <w:t xml:space="preserve"> — comparing both spaced and contiguous k-mer patterns across multiple distance metrics — for phylogenetic inference under indel-rich conditions; and (ii) the delivery of these findings as a ready-to-use open-source tool (Fusang: Tardigrade Edition) with automatic parameter selection, a multi-k ensemble requiring no manual k choice, and an empirically mapped domain of applicability. We find that: (1) k-mer frequency vectors with cosine distance provide effective phylogenetic signal under indels; (2) spaced k-mers are hypothesized to be more robust at high indel rates, though the practical advantage over contiguous k-mers is modest at the tested indel rate (0.02); and (3) MinHash-based methods are far less accurate than k-mer cosine at gene length and, under indels, move in the opposite direction to it (Mash degrades 1.16× while k-mer cosine improves 0.83×), so the earlier claim that both degrade severely (~1.9×) is withdrawn. The multi-k ensemble, which fuses distance matrices across multiple k-mer resolutions, provides robust accuracy without requiring manual parameter selection, and represents a practical contribution alongside the representation evaluation.</w:t>
      </w:r>
    </w:p>
    <w:p>
      <w:pPr>
        <w:keepNext/>
        <w:spacing w:before="200" w:after="120" w:line="276" w:lineRule="auto"/>
      </w:pPr>
      <w:r>
        <w:rPr>
          <w:rFonts w:ascii="Times New Roman" w:hAnsi="Times New Roman" w:eastAsia="Times New Roman" w:cs="Times New Roman"/>
          <w:b/>
          <w:i w:val="0"/>
          <w:color w:val="000000"/>
          <w:sz w:val="26"/>
        </w:rPr>
        <w:t>Contributions of this work</w:t>
      </w:r>
    </w:p>
    <w:p>
      <w:pPr>
        <w:spacing w:after="120" w:line="360" w:lineRule="auto"/>
      </w:pPr>
      <w:r>
        <w:rPr>
          <w:rFonts w:ascii="Times New Roman" w:hAnsi="Times New Roman" w:eastAsia="Times New Roman" w:cs="Times New Roman"/>
          <w:b w:val="0"/>
          <w:i w:val="0"/>
          <w:color w:val="000000"/>
          <w:sz w:val="24"/>
        </w:rPr>
        <w:t>We systematically evaluate spaced k-mer features for phylogenetic tree inference across datasets spanning n=20 to 10,000 taxa. We make the following contributions:</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Vector-based phylogenetic inference under indels.</w:t>
      </w:r>
      <w:r>
        <w:rPr>
          <w:rFonts w:ascii="Times New Roman" w:hAnsi="Times New Roman" w:eastAsia="Times New Roman" w:cs="Times New Roman"/>
          <w:b w:val="0"/>
          <w:i w:val="0"/>
          <w:color w:val="000000"/>
          <w:sz w:val="24"/>
        </w:rPr>
        <w:t xml:space="preserve"> Fusang's multi-k ensemble NJ reduces topological error by 8.7% relative to the single-k configuration (TRUE-relative nRF=0.137±0.023 vs 0.150±0.026, 30 seeds, Wilcoxon p=0.0018, paired d=0.67, ensemble lower in 19/30 seeds). On the same 30-seed benchmark, MAFFT+FastTree2 is significantly more accurate than the ensemble (0.124±0.026, paired Wilcoxon p=0.0024, d=0.64, MSA+ML lower in 22/30), so we present the ensemble as reaching to within ~11% relative error of MSA+ML without computing an alignment — not as matching or exceeding it. Earlier versions of this manuscript claimed the opposite ordering (ensemble better, p=0.024) and a 21.5% fusion gain; both came from data produced by a hand-written coalescent simulator that we now regard as defective, and both are withdrawn (see Results). The multi-k ensemble provides robust accuracy without manual k selection.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Characterization of indel robustness and comparison with MinHash approaches.</w:t>
      </w:r>
      <w:r>
        <w:rPr>
          <w:rFonts w:ascii="Times New Roman" w:hAnsi="Times New Roman" w:eastAsia="Times New Roman" w:cs="Times New Roman"/>
          <w:b w:val="0"/>
          <w:i w:val="0"/>
          <w:color w:val="000000"/>
          <w:sz w:val="24"/>
        </w:rPr>
        <w:t xml:space="preserve"> Fusang is numerically more accurate than FastTree2 under indels at n=200 (TRUE-relative nRF=0.199±0.030 vs FastTree2 nRF=0.205±0.030, paired Wilcoxon p=0.0507, 130 seeds; borderline at α=0.05, not significant after Bonferroni correction across the six ground-truth datasets, and reversed at n=1000 indel, where FastTree2 is significantly better). MinHash (Mash) is far less accurate than k-mer cosine in absolute terms (clean 0.349 vs 0.236; indel 0.403 vs 0.193; 30 seeds, Fusang better in 30/30 seeds in both conditions, paired d=3.12 and 2.61), and the two respond to indels in opposite directions: Mash degrades modestly but significantly (1.16×, p=3.0×10⁻³) while k-mer cosine improves (0.83×, p=6.2×10⁻⁶); the earlier claim that both degrade ~1.9× was an artefact of a defective simulator and is withdrawn. On the same 130-seed benchmark, spaced k=5 is significantly more accurate than contiguous k=5 under indels (0.2003 vs 0.2078, p=5.54×10⁻⁴), whereas BME-NNI refinement adds no significant gain (p=0.34); contiguous k=7 (0.1938) and the multi-k ensemble (0.1940) are both significantly more accurate than the default pipeline (0.1990, p=3.9×10⁻³ and 7.7×10⁻³), which we present as robust rather than optimal at gene length. Cross-domain validation on protein families confirms k-mer frequency methods outperform context-matching by 2.2–2.4× (p=0.0010–0.0020).</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Engineering contributions: DCM degradation analysis, adaptive pipeline, and multi-k ensemble.</w:t>
      </w:r>
      <w:r>
        <w:rPr>
          <w:rFonts w:ascii="Times New Roman" w:hAnsi="Times New Roman" w:eastAsia="Times New Roman" w:cs="Times New Roman"/>
          <w:b w:val="0"/>
          <w:i w:val="0"/>
          <w:color w:val="000000"/>
          <w:sz w:val="24"/>
        </w:rPr>
        <w:t xml:space="preserve"> We identify EPA grafting as the primary bottleneck in divide-and-conquer pipelines and implement an adaptive strategy that automatically selects optimal pipeline based on dataset size. The multi-k ensemble fuses distance matrices across k-mer resolutions.</w:t>
      </w:r>
    </w:p>
    <w:p>
      <w:pPr>
        <w:spacing w:after="120" w:line="360" w:lineRule="auto"/>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i w:val="0"/>
          <w:color w:val="000000"/>
          <w:sz w:val="24"/>
        </w:rPr>
        <w:t>Open-source implementation with automated parameter selection and boundary classifier.</w:t>
      </w:r>
      <w:r>
        <w:rPr>
          <w:rFonts w:ascii="Times New Roman" w:hAnsi="Times New Roman" w:eastAsia="Times New Roman" w:cs="Times New Roman"/>
          <w:b w:val="0"/>
          <w:i w:val="0"/>
          <w:color w:val="000000"/>
          <w:sz w:val="24"/>
        </w:rPr>
        <w:t xml:space="preserve"> Fusang includes a random forest classifier for dataset suitability assessment (100% accuracy on 150 simulated scenarios, 95% CI [0.975, 1.0]) and provides pre-compiled binaries for Windows/Linux.</w:t>
      </w:r>
    </w:p>
    <w:p>
      <w:pPr>
        <w:keepNext/>
        <w:spacing w:before="240" w:after="120" w:line="276" w:lineRule="auto"/>
      </w:pPr>
      <w:r>
        <w:rPr>
          <w:rFonts w:ascii="Times New Roman" w:hAnsi="Times New Roman" w:eastAsia="Times New Roman" w:cs="Times New Roman"/>
          <w:b/>
          <w:i w:val="0"/>
          <w:color w:val="000000"/>
          <w:sz w:val="28"/>
        </w:rPr>
        <w:t>MATERIALS AND METHODS</w:t>
      </w:r>
    </w:p>
    <w:p>
      <w:pPr>
        <w:keepNext/>
        <w:spacing w:before="200" w:after="120" w:line="276" w:lineRule="auto"/>
      </w:pPr>
      <w:r>
        <w:rPr>
          <w:rFonts w:ascii="Times New Roman" w:hAnsi="Times New Roman" w:eastAsia="Times New Roman" w:cs="Times New Roman"/>
          <w:b/>
          <w:i w:val="0"/>
          <w:color w:val="000000"/>
          <w:sz w:val="26"/>
        </w:rPr>
        <w:t>Spaced k-mer feature extraction</w:t>
      </w:r>
    </w:p>
    <w:p>
      <w:pPr>
        <w:spacing w:after="120" w:line="360" w:lineRule="auto"/>
      </w:pPr>
      <w:r>
        <w:rPr>
          <w:rFonts w:ascii="Times New Roman" w:hAnsi="Times New Roman" w:eastAsia="Times New Roman" w:cs="Times New Roman"/>
          <w:b w:val="0"/>
          <w:i w:val="0"/>
          <w:color w:val="000000"/>
          <w:sz w:val="24"/>
        </w:rPr>
        <w:t>For a DNA sequence S of length L, a spaced k-mer of weight k is defined by a binary pattern over a window of length k + s (s = number of skipped positions), in which k positions are sampled (1) and s are skipped (0). Two gap styles are implemented (</w:t>
      </w:r>
      <w:r>
        <w:rPr>
          <w:rFonts w:ascii="Consolas" w:hAnsi="Consolas" w:eastAsia="Consolas" w:cs="Consolas"/>
          <w:b w:val="0"/>
          <w:i w:val="0"/>
          <w:color w:val="000000"/>
          <w:sz w:val="24"/>
        </w:rPr>
        <w:t>kmer_distance.make_gap_pattern</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gap1</w:t>
      </w:r>
      <w:r>
        <w:rPr>
          <w:rFonts w:ascii="Times New Roman" w:hAnsi="Times New Roman" w:eastAsia="Times New Roman" w:cs="Times New Roman"/>
          <w:b w:val="0"/>
          <w:i w:val="0"/>
          <w:color w:val="000000"/>
          <w:sz w:val="24"/>
        </w:rPr>
        <w:t xml:space="preserve"> interleaves one skipped position after every two sampled positions, and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(the default) splits the sampled positions into two contiguous blocks separated by two skipped positions in the middle. Concretely, at the default k=5 the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pattern is 1110011 (5 sampled positions spanning 7 nucleotides, positions 0,1,2,5,6), and at k=4 the </w:t>
      </w:r>
      <w:r>
        <w:rPr>
          <w:rFonts w:ascii="Consolas" w:hAnsi="Consolas" w:eastAsia="Consolas" w:cs="Consolas"/>
          <w:b w:val="0"/>
          <w:i w:val="0"/>
          <w:color w:val="000000"/>
          <w:sz w:val="24"/>
        </w:rPr>
        <w:t>gap1</w:t>
      </w:r>
      <w:r>
        <w:rPr>
          <w:rFonts w:ascii="Times New Roman" w:hAnsi="Times New Roman" w:eastAsia="Times New Roman" w:cs="Times New Roman"/>
          <w:b w:val="0"/>
          <w:i w:val="0"/>
          <w:color w:val="000000"/>
          <w:sz w:val="24"/>
        </w:rPr>
        <w:t xml:space="preserve"> pattern is 11011 (4 sampled positions spanning 5 nucleotides, positions 0,1,3,4); at k=4 </w:t>
      </w:r>
      <w:r>
        <w:rPr>
          <w:rFonts w:ascii="Consolas" w:hAnsi="Consolas" w:eastAsia="Consolas" w:cs="Consolas"/>
          <w:b w:val="0"/>
          <w:i w:val="0"/>
          <w:color w:val="000000"/>
          <w:sz w:val="24"/>
        </w:rPr>
        <w:t>gap2</w:t>
      </w:r>
      <w:r>
        <w:rPr>
          <w:rFonts w:ascii="Times New Roman" w:hAnsi="Times New Roman" w:eastAsia="Times New Roman" w:cs="Times New Roman"/>
          <w:b w:val="0"/>
          <w:i w:val="0"/>
          <w:color w:val="000000"/>
          <w:sz w:val="24"/>
        </w:rPr>
        <w:t xml:space="preserve"> gives 110011 (positions 0,1,4,5). Contiguous k-mers are the special case of no skipped positions. (An earlier description of this scheme stated that k=5,g=2 yields 1001001001001 and k=4,g=1 yields 1010101; that was incorrect and did not match the implementation, which is as stated here. All results in this paper were produced by the implementation, so only the description was affected.) For the 20-letter protein alphabet the SwissTree benchmark (Table 10) uses shorter patterns —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(3 sampled positions spanning 4 residues) and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(4 sampled positions spanning 5 residues) — to keep the frequency-vector dimension tractable.</w:t>
      </w:r>
    </w:p>
    <w:p>
      <w:pPr>
        <w:spacing w:after="120" w:line="360" w:lineRule="auto"/>
      </w:pPr>
      <w:r>
        <w:rPr>
          <w:rFonts w:ascii="Times New Roman" w:hAnsi="Times New Roman" w:eastAsia="Times New Roman" w:cs="Times New Roman"/>
          <w:b w:val="0"/>
          <w:i w:val="0"/>
          <w:color w:val="000000"/>
          <w:sz w:val="24"/>
        </w:rPr>
        <w:t xml:space="preserve">For a sequence S, the normalized frequency vector F(S) ∈ [0,1]^(4^w) — where w is the number of sampled positions in the pattern (w=k for contiguous k-mers) — counts occurrences of each observed k-mer pattern, normalized to unit L1-norm. </w:t>
      </w:r>
      <w:r>
        <w:rPr>
          <w:rFonts w:ascii="Times New Roman" w:hAnsi="Times New Roman" w:eastAsia="Times New Roman" w:cs="Times New Roman"/>
          <w:b/>
          <w:i w:val="0"/>
          <w:color w:val="000000"/>
          <w:sz w:val="24"/>
        </w:rPr>
        <w:t>Strand handling.</w:t>
      </w:r>
      <w:r>
        <w:rPr>
          <w:rFonts w:ascii="Times New Roman" w:hAnsi="Times New Roman" w:eastAsia="Times New Roman" w:cs="Times New Roman"/>
          <w:b w:val="0"/>
          <w:i w:val="0"/>
          <w:color w:val="000000"/>
          <w:sz w:val="24"/>
        </w:rPr>
        <w:t xml:space="preserve"> The implementation counts forward-strand k-mers only; it does not apply reverse-complement canonicalisation (i.e. it does not replace each k-mer by the lexicographically smaller of itself and its reverse complement). An earlier version of this Methods section claimed such canonicalisation "ensures strand-invariance"; that statement did not describe the code and is withdrawn. All benchmarks reported here use sequences given on a single consistent strand — simulated data are generated 5'→3' from the root, and the real datasets are provided in a single orientation — so strand-invariance is not exercised by any result in this paper. For inputs mixing both strands (e.g. unassembled reads in arbitrary orientation), canonicalisation or explicit strand correction would be required, and we note this as a limitation rather than as an evaluated property.</w:t>
      </w:r>
    </w:p>
    <w:p>
      <w:pPr>
        <w:keepNext/>
        <w:spacing w:before="200" w:after="120" w:line="276" w:lineRule="auto"/>
      </w:pPr>
      <w:r>
        <w:rPr>
          <w:rFonts w:ascii="Times New Roman" w:hAnsi="Times New Roman" w:eastAsia="Times New Roman" w:cs="Times New Roman"/>
          <w:b/>
          <w:i w:val="0"/>
          <w:color w:val="000000"/>
          <w:sz w:val="26"/>
        </w:rPr>
        <w:t>K-mer distance computation</w:t>
      </w:r>
    </w:p>
    <w:p>
      <w:pPr>
        <w:spacing w:after="120" w:line="360" w:lineRule="auto"/>
      </w:pPr>
      <w:r>
        <w:rPr>
          <w:rFonts w:ascii="Times New Roman" w:hAnsi="Times New Roman" w:eastAsia="Times New Roman" w:cs="Times New Roman"/>
          <w:b w:val="0"/>
          <w:i w:val="0"/>
          <w:color w:val="000000"/>
          <w:sz w:val="24"/>
        </w:rPr>
        <w:t>Pairwise distances between sequences A and B are computed using two complementary metrics:</w:t>
      </w:r>
    </w:p>
    <w:p>
      <w:pPr>
        <w:spacing w:after="120" w:line="360" w:lineRule="auto"/>
      </w:pPr>
      <w:r>
        <w:rPr>
          <w:rFonts w:ascii="Times New Roman" w:hAnsi="Times New Roman" w:eastAsia="Times New Roman" w:cs="Times New Roman"/>
          <w:b/>
          <w:i w:val="0"/>
          <w:color w:val="000000"/>
          <w:sz w:val="24"/>
        </w:rPr>
        <w:t>Cosine distance</w:t>
      </w:r>
      <w:r>
        <w:rPr>
          <w:rFonts w:ascii="Times New Roman" w:hAnsi="Times New Roman" w:eastAsia="Times New Roman" w:cs="Times New Roman"/>
          <w:b w:val="0"/>
          <w:i w:val="0"/>
          <w:color w:val="000000"/>
          <w:sz w:val="24"/>
        </w:rPr>
        <w:t xml:space="preserve"> (used in the simplified pipeline):</w:t>
      </w:r>
    </w:p>
    <w:p>
      <w:pPr>
        <w:spacing w:after="120" w:line="360" w:lineRule="auto"/>
      </w:pPr>
      <w:r>
        <w:rPr>
          <w:rFonts w:ascii="Times New Roman" w:hAnsi="Times New Roman" w:eastAsia="Times New Roman" w:cs="Times New Roman"/>
          <w:b w:val="0"/>
          <w:i w:val="0"/>
          <w:color w:val="000000"/>
          <w:sz w:val="24"/>
        </w:rPr>
        <w:t>D_cos(A,B) = 1 − cos(F(A), F(B))</w:t>
      </w:r>
    </w:p>
    <w:p>
      <w:pPr>
        <w:spacing w:after="120" w:line="360" w:lineRule="auto"/>
      </w:pPr>
      <w:r>
        <w:rPr>
          <w:rFonts w:ascii="Times New Roman" w:hAnsi="Times New Roman" w:eastAsia="Times New Roman" w:cs="Times New Roman"/>
          <w:b w:val="0"/>
          <w:i w:val="0"/>
          <w:color w:val="000000"/>
          <w:sz w:val="24"/>
        </w:rPr>
        <w:t xml:space="preserve">Cosine distance is preferred for the simplified pipeline because it directly models frequency vector direction, which better preserves phylogenetic signal when no downstream transformations (DCM, EPA) are applied. </w:t>
      </w:r>
      <w:r>
        <w:rPr>
          <w:rFonts w:ascii="Times New Roman" w:hAnsi="Times New Roman" w:eastAsia="Times New Roman" w:cs="Times New Roman"/>
          <w:b/>
          <w:i w:val="0"/>
          <w:color w:val="000000"/>
          <w:sz w:val="24"/>
        </w:rPr>
        <w:t>Comparison with Jensen-Shannon divergence (JSD):</w:t>
      </w:r>
      <w:r>
        <w:rPr>
          <w:rFonts w:ascii="Times New Roman" w:hAnsi="Times New Roman" w:eastAsia="Times New Roman" w:cs="Times New Roman"/>
          <w:b w:val="0"/>
          <w:i w:val="0"/>
          <w:color w:val="000000"/>
          <w:sz w:val="24"/>
        </w:rPr>
        <w:t xml:space="preserve"> JSD, used in the DCM pipeline's TF-IDF weighting step, provides a normalized distance metric suitable for high-dimensional sparse frequency vectors. However, in a benchmark on INDELible-simulated data (n=200, indel rate=0.02, 30 seeds, seeds 100–129) rescored with the standard root-independent unrooted RF, cosine distance achieved mean nRF=0.196 ± 0.026 vs square-root JSD mean nRF=0.205 ± 0.029 (paired Wilcoxon p=0.011 on integer RF counts, paired Cohen's d=0.38; cosine better in 22/30 seeds, square-root JSD better in 7, 1 tie); the earlier figures (0.129 ± 0.027 vs 0.132 ± 0.025, p=0.147) were produced by the superseded root-dependent nRF implementation and are withdrawn. Rescoring script and per-seed values: </w:t>
      </w:r>
      <w:r>
        <w:rPr>
          <w:rFonts w:ascii="Consolas" w:hAnsi="Consolas" w:eastAsia="Consolas" w:cs="Consolas"/>
          <w:b w:val="0"/>
          <w:i w:val="0"/>
          <w:color w:val="000000"/>
          <w:sz w:val="24"/>
        </w:rPr>
        <w:t>repro_ablations/cosine_vs_jsd_nrfstandard.py</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repro_ablations/cosine_vs_jsd_n200_indel_30seeds_nrfstandard.json</w:t>
      </w:r>
      <w:r>
        <w:rPr>
          <w:rFonts w:ascii="Times New Roman" w:hAnsi="Times New Roman" w:eastAsia="Times New Roman" w:cs="Times New Roman"/>
          <w:b w:val="0"/>
          <w:i w:val="0"/>
          <w:color w:val="000000"/>
          <w:sz w:val="24"/>
        </w:rPr>
        <w:t>. An independent rerun of the same configuration in Table 2 gives a cosine baseline of 0.193; the 0.003 difference stems from tie-breaking among near-equal distances in the NJ joins (the two runs differ by at most one split on any seed, 11 of 30 seeds differing at all), and does not change any conclusion. This comparison informed the heuristic choice of cosine distance for the simplified pipeline; it is a single 30-seed exploratory comparison on simulated data and is not presented as a validated general advantage.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achieve lower absolute nRF than MinHash Jaccard under indels (see Results).</w:t>
      </w:r>
    </w:p>
    <w:p>
      <w:pPr>
        <w:spacing w:after="120" w:line="360" w:lineRule="auto"/>
      </w:pPr>
      <w:r>
        <w:rPr>
          <w:rFonts w:ascii="Times New Roman" w:hAnsi="Times New Roman" w:eastAsia="Times New Roman" w:cs="Times New Roman"/>
          <w:b/>
          <w:i w:val="0"/>
          <w:color w:val="000000"/>
          <w:sz w:val="24"/>
        </w:rPr>
        <w:t>Jensen-Shannon divergence</w:t>
      </w:r>
      <w:r>
        <w:rPr>
          <w:rFonts w:ascii="Times New Roman" w:hAnsi="Times New Roman" w:eastAsia="Times New Roman" w:cs="Times New Roman"/>
          <w:b w:val="0"/>
          <w:i w:val="0"/>
          <w:color w:val="000000"/>
          <w:sz w:val="24"/>
        </w:rPr>
        <w:t xml:space="preserve"> (used in the DCM pipeline):</w:t>
      </w:r>
    </w:p>
    <w:p>
      <w:pPr>
        <w:spacing w:after="120" w:line="360" w:lineRule="auto"/>
      </w:pPr>
      <w:r>
        <w:rPr>
          <w:rFonts w:ascii="Times New Roman" w:hAnsi="Times New Roman" w:eastAsia="Times New Roman" w:cs="Times New Roman"/>
          <w:b w:val="0"/>
          <w:i w:val="0"/>
          <w:color w:val="000000"/>
          <w:sz w:val="24"/>
        </w:rPr>
        <w:t>D_JSD(A,B) = JSD(F(A), F(B)) = ½ D_KL(P||M) + ½ D_KL(Q||M)</w:t>
      </w:r>
    </w:p>
    <w:p>
      <w:pPr>
        <w:spacing w:after="120" w:line="360" w:lineRule="auto"/>
      </w:pPr>
      <w:r>
        <w:rPr>
          <w:rFonts w:ascii="Times New Roman" w:hAnsi="Times New Roman" w:eastAsia="Times New Roman" w:cs="Times New Roman"/>
          <w:b w:val="0"/>
          <w:i w:val="0"/>
          <w:color w:val="000000"/>
          <w:sz w:val="24"/>
        </w:rPr>
        <w:t>where M = ½(P+Q) and D_KL is the Kullback-Leibler divergence. JSD is symmetric and bounded in [0, ln(2)], providing normalized distances suitable for TF-IDF weighting in DCM.</w:t>
      </w:r>
    </w:p>
    <w:p>
      <w:pPr>
        <w:keepNext/>
        <w:spacing w:before="200" w:after="120" w:line="276" w:lineRule="auto"/>
      </w:pPr>
      <w:r>
        <w:rPr>
          <w:rFonts w:ascii="Times New Roman" w:hAnsi="Times New Roman" w:eastAsia="Times New Roman" w:cs="Times New Roman"/>
          <w:b/>
          <w:i w:val="0"/>
          <w:color w:val="000000"/>
          <w:sz w:val="26"/>
        </w:rPr>
        <w:t>Adaptive pipeline architecture</w:t>
      </w:r>
    </w:p>
    <w:p>
      <w:pPr>
        <w:spacing w:after="120" w:line="360" w:lineRule="auto"/>
      </w:pPr>
      <w:r>
        <w:rPr>
          <w:rFonts w:ascii="Times New Roman" w:hAnsi="Times New Roman" w:eastAsia="Times New Roman" w:cs="Times New Roman"/>
          <w:b w:val="0"/>
          <w:i w:val="0"/>
          <w:color w:val="000000"/>
          <w:sz w:val="24"/>
        </w:rPr>
        <w:t>Fusang implements two distinct tree-building strategies selected automatically based on dataset size:</w:t>
      </w:r>
    </w:p>
    <w:p>
      <w:pPr>
        <w:keepNext/>
        <w:spacing w:before="200" w:after="120" w:line="276" w:lineRule="auto"/>
      </w:pPr>
      <w:r>
        <w:rPr>
          <w:rFonts w:ascii="Times New Roman" w:hAnsi="Times New Roman" w:eastAsia="Times New Roman" w:cs="Times New Roman"/>
          <w:b/>
          <w:i w:val="0"/>
          <w:color w:val="000000"/>
          <w:sz w:val="24"/>
        </w:rPr>
        <w:t>Simplified pipeline (default for n ≤ 500)</w:t>
      </w:r>
    </w:p>
    <w:p>
      <w:pPr>
        <w:spacing w:after="120" w:line="360" w:lineRule="auto"/>
      </w:pPr>
      <w:r>
        <w:rPr>
          <w:rFonts w:ascii="Times New Roman" w:hAnsi="Times New Roman" w:eastAsia="Times New Roman" w:cs="Times New Roman"/>
          <w:b w:val="0"/>
          <w:i w:val="0"/>
          <w:color w:val="000000"/>
          <w:sz w:val="24"/>
        </w:rPr>
        <w:t xml:space="preserve">The simplified pipeline is the default route for n ≤ 500; above that threshold Fusang switches to DCM+EPA automatically. It can be requested explicitly at larger n with </w:t>
      </w:r>
      <w:r>
        <w:rPr>
          <w:rFonts w:ascii="Consolas" w:hAnsi="Consolas" w:eastAsia="Consolas" w:cs="Consolas"/>
          <w:b w:val="0"/>
          <w:i w:val="0"/>
          <w:color w:val="000000"/>
          <w:sz w:val="24"/>
        </w:rPr>
        <w:t>--auto_group_method simple</w:t>
      </w:r>
      <w:r>
        <w:rPr>
          <w:rFonts w:ascii="Times New Roman" w:hAnsi="Times New Roman" w:eastAsia="Times New Roman" w:cs="Times New Roman"/>
          <w:b w:val="0"/>
          <w:i w:val="0"/>
          <w:color w:val="000000"/>
          <w:sz w:val="24"/>
        </w:rPr>
        <w:t xml:space="preserve">. (The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flag is intended to do the same, but in the version used for this work it is silently overridden for n &gt; 500 by the </w:t>
      </w:r>
      <w:r>
        <w:rPr>
          <w:rFonts w:ascii="Consolas" w:hAnsi="Consolas" w:eastAsia="Consolas" w:cs="Consolas"/>
          <w:b w:val="0"/>
          <w:i w:val="0"/>
          <w:color w:val="000000"/>
          <w:sz w:val="24"/>
        </w:rPr>
        <w:t>epa_method</w:t>
      </w:r>
      <w:r>
        <w:rPr>
          <w:rFonts w:ascii="Times New Roman" w:hAnsi="Times New Roman" w:eastAsia="Times New Roman" w:cs="Times New Roman"/>
          <w:b w:val="0"/>
          <w:i w:val="0"/>
          <w:color w:val="000000"/>
          <w:sz w:val="24"/>
        </w:rPr>
        <w:t xml:space="preserve"> branch in </w:t>
      </w:r>
      <w:r>
        <w:rPr>
          <w:rFonts w:ascii="Consolas" w:hAnsi="Consolas" w:eastAsia="Consolas" w:cs="Consolas"/>
          <w:b w:val="0"/>
          <w:i w:val="0"/>
          <w:color w:val="000000"/>
          <w:sz w:val="24"/>
        </w:rPr>
        <w:t>fusang_v2.py</w:t>
      </w:r>
      <w:r>
        <w:rPr>
          <w:rFonts w:ascii="Times New Roman" w:hAnsi="Times New Roman" w:eastAsia="Times New Roman" w:cs="Times New Roman"/>
          <w:b w:val="0"/>
          <w:i w:val="0"/>
          <w:color w:val="000000"/>
          <w:sz w:val="24"/>
        </w:rPr>
        <w:t>; see the note to Table 11.)</w:t>
      </w:r>
    </w:p>
    <w:p>
      <w:pPr>
        <w:spacing w:after="120" w:line="360" w:lineRule="auto"/>
      </w:pPr>
      <w:r>
        <w:rPr>
          <w:rFonts w:ascii="Times New Roman" w:hAnsi="Times New Roman" w:eastAsia="Times New Roman" w:cs="Times New Roman"/>
          <w:b w:val="0"/>
          <w:i w:val="0"/>
          <w:color w:val="000000"/>
          <w:sz w:val="24"/>
        </w:rPr>
        <w:t>For small-to-medium datasets, Fusang bypasses divide-and-conquer entirely:</w:t>
      </w:r>
    </w:p>
    <w:p>
      <w:pPr>
        <w:spacing w:after="120" w:line="360" w:lineRule="auto"/>
      </w:pPr>
      <w:r>
        <w:rPr>
          <w:rFonts w:ascii="Times New Roman" w:hAnsi="Times New Roman" w:eastAsia="Times New Roman" w:cs="Times New Roman"/>
          <w:b w:val="0"/>
          <w:i w:val="0"/>
          <w:color w:val="000000"/>
          <w:sz w:val="24"/>
        </w:rPr>
        <w:t>1. Extract spaced k-mer frequency vectors for all sequences</w:t>
      </w:r>
    </w:p>
    <w:p>
      <w:pPr>
        <w:spacing w:after="120" w:line="360" w:lineRule="auto"/>
      </w:pPr>
      <w:r>
        <w:rPr>
          <w:rFonts w:ascii="Times New Roman" w:hAnsi="Times New Roman" w:eastAsia="Times New Roman" w:cs="Times New Roman"/>
          <w:b w:val="0"/>
          <w:i w:val="0"/>
          <w:color w:val="000000"/>
          <w:sz w:val="24"/>
        </w:rPr>
        <w:t>2. Compute pairwise cosine distances (O(n² × 4^k))</w:t>
      </w:r>
    </w:p>
    <w:p>
      <w:pPr>
        <w:spacing w:after="120" w:line="360" w:lineRule="auto"/>
      </w:pPr>
      <w:r>
        <w:rPr>
          <w:rFonts w:ascii="Times New Roman" w:hAnsi="Times New Roman" w:eastAsia="Times New Roman" w:cs="Times New Roman"/>
          <w:b w:val="0"/>
          <w:i w:val="0"/>
          <w:color w:val="000000"/>
          <w:sz w:val="24"/>
        </w:rPr>
        <w:t>3. Build a tree via Neighbor-Joining (NJ, BioPython) or FastME BIONJ+BNNI (BIONJ: bioNJ, a modified NJ algorithm with improved theoretical properties; BNNI: Bayesian Nearest Neighbor Interchange, a tree topology search heuristic)</w:t>
      </w:r>
    </w:p>
    <w:p>
      <w:pPr>
        <w:spacing w:after="120" w:line="360" w:lineRule="auto"/>
      </w:pPr>
      <w:r>
        <w:rPr>
          <w:rFonts w:ascii="Times New Roman" w:hAnsi="Times New Roman" w:eastAsia="Times New Roman" w:cs="Times New Roman"/>
          <w:b w:val="0"/>
          <w:i w:val="0"/>
          <w:color w:val="000000"/>
          <w:sz w:val="24"/>
        </w:rPr>
        <w:t>4. When the tree was built by NJ and n ≥ 100, apply BME-scored NNI refinement (</w:t>
      </w:r>
      <w:r>
        <w:rPr>
          <w:rFonts w:ascii="Consolas" w:hAnsi="Consolas" w:eastAsia="Consolas" w:cs="Consolas"/>
          <w:b w:val="0"/>
          <w:i w:val="0"/>
          <w:color w:val="000000"/>
          <w:sz w:val="24"/>
        </w:rPr>
        <w:t>nni_refine</w:t>
      </w:r>
      <w:r>
        <w:rPr>
          <w:rFonts w:ascii="Times New Roman" w:hAnsi="Times New Roman" w:eastAsia="Times New Roman" w:cs="Times New Roman"/>
          <w:b w:val="0"/>
          <w:i w:val="0"/>
          <w:color w:val="000000"/>
          <w:sz w:val="24"/>
        </w:rPr>
        <w:t>, at most 100 accepted moves); this step is skipped for FastME trees, which are already BME-optimal</w:t>
      </w:r>
    </w:p>
    <w:p>
      <w:pPr>
        <w:spacing w:after="120" w:line="360" w:lineRule="auto"/>
      </w:pPr>
      <w:r>
        <w:rPr>
          <w:rFonts w:ascii="Times New Roman" w:hAnsi="Times New Roman" w:eastAsia="Times New Roman" w:cs="Times New Roman"/>
          <w:b w:val="0"/>
          <w:i w:val="0"/>
          <w:color w:val="000000"/>
          <w:sz w:val="24"/>
        </w:rPr>
        <w:t>5. Output Newick tree</w:t>
      </w:r>
    </w:p>
    <w:p>
      <w:pPr>
        <w:spacing w:after="120" w:line="360" w:lineRule="auto"/>
      </w:pPr>
      <w:r>
        <w:rPr>
          <w:rFonts w:ascii="Times New Roman" w:hAnsi="Times New Roman" w:eastAsia="Times New Roman" w:cs="Times New Roman"/>
          <w:b w:val="0"/>
          <w:i w:val="0"/>
          <w:color w:val="000000"/>
          <w:sz w:val="24"/>
        </w:rPr>
        <w:t>6. (Optional) Compute bootstrap support values via multinomial resampling of k-mer profiles (see Supplementary Note S5)</w:t>
      </w:r>
    </w:p>
    <w:p>
      <w:pPr>
        <w:spacing w:after="120" w:line="360" w:lineRule="auto"/>
      </w:pPr>
      <w:r>
        <w:rPr>
          <w:rFonts w:ascii="Times New Roman" w:hAnsi="Times New Roman" w:eastAsia="Times New Roman" w:cs="Times New Roman"/>
          <w:b w:val="0"/>
          <w:i w:val="0"/>
          <w:color w:val="000000"/>
          <w:sz w:val="24"/>
        </w:rPr>
        <w:t xml:space="preserve">Unless explicitly noted as "FastME," all simplified-pipeline </w:t>
      </w:r>
      <w:r>
        <w:rPr>
          <w:rFonts w:ascii="Times New Roman" w:hAnsi="Times New Roman" w:eastAsia="Times New Roman" w:cs="Times New Roman"/>
          <w:b/>
          <w:i w:val="0"/>
          <w:color w:val="000000"/>
          <w:sz w:val="24"/>
        </w:rPr>
        <w:t>accuracy</w:t>
      </w:r>
      <w:r>
        <w:rPr>
          <w:rFonts w:ascii="Times New Roman" w:hAnsi="Times New Roman" w:eastAsia="Times New Roman" w:cs="Times New Roman"/>
          <w:b w:val="0"/>
          <w:i w:val="0"/>
          <w:color w:val="000000"/>
          <w:sz w:val="24"/>
        </w:rPr>
        <w:t xml:space="preserve"> benchmarks in this work use the NJ builder with the BME-scored NNI refinement step (auto mode; applied for n ≥ 100). The SwissTree benchmark and the alignment-free competitor comparison (see Results) likewise use NJ, for consistency with the AFproject community standard, which requires identical tree builders across methods. Scalability (wall-clock) benchmarks use FastME for its O(n²) speed advantage (Table 11).</w:t>
      </w:r>
    </w:p>
    <w:p>
      <w:pPr>
        <w:spacing w:after="120" w:line="360" w:lineRule="auto"/>
      </w:pPr>
      <w:r>
        <w:rPr>
          <w:rFonts w:ascii="Times New Roman" w:hAnsi="Times New Roman" w:eastAsia="Times New Roman" w:cs="Times New Roman"/>
          <w:b w:val="0"/>
          <w:i w:val="0"/>
          <w:color w:val="000000"/>
          <w:sz w:val="24"/>
        </w:rPr>
        <w:t>This pipeline was discovered through systematic ablation experiments (see Results). On the 130-seed INDELible clean benchmark (n=200), it attains nRF=0.234 ± 0.035 vs FastTree2 0.210 ± 0.034 (paired Wilcoxon p=2.07×10⁻¹⁴; FastTree2 significantly better; Fusang better in 26/130 seeds, FastTree2 in 103, 1 tie; Table 1). An earlier version of this manuscript reported 0.144 ± 0.025 vs 0.146 ± 0.025 for the same 130 trees (paired Wilcoxon p=0.242, not significant, Fusang better in 68/130 seeds); those figures were produced by the superseded root-dependent nRF implementation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which understated RF and biased comparisons in Fusang's favour (Fusang's win count drops from 68/130 to 26/130 once the standard root-independent RF is used), and the claim that the two are statistically indistinguishable on clean data is withdrawn. The simplified pipeline eliminates the DCM-related degradation observed in the original architecture; on clean data it does not match alignment-based ML accuracy, and its value lies in avoiding alignment and in scalability rather than in clean-data accuracy.</w:t>
      </w:r>
    </w:p>
    <w:p>
      <w:pPr>
        <w:keepNext/>
        <w:spacing w:before="200" w:after="120" w:line="276" w:lineRule="auto"/>
      </w:pPr>
      <w:r>
        <w:rPr>
          <w:rFonts w:ascii="Times New Roman" w:hAnsi="Times New Roman" w:eastAsia="Times New Roman" w:cs="Times New Roman"/>
          <w:b/>
          <w:i w:val="0"/>
          <w:color w:val="000000"/>
          <w:sz w:val="24"/>
        </w:rPr>
        <w:t>Divide-and-conquer pipeline (n &gt; 500)</w:t>
      </w:r>
    </w:p>
    <w:p>
      <w:pPr>
        <w:spacing w:after="120" w:line="360" w:lineRule="auto"/>
      </w:pPr>
      <w:r>
        <w:rPr>
          <w:rFonts w:ascii="Times New Roman" w:hAnsi="Times New Roman" w:eastAsia="Times New Roman" w:cs="Times New Roman"/>
          <w:b w:val="0"/>
          <w:i w:val="0"/>
          <w:color w:val="000000"/>
          <w:sz w:val="24"/>
        </w:rPr>
        <w:t>For large datasets, Fusang employs the Disk-Covering Method (DCM [3,15]):</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Clustering</w:t>
      </w:r>
      <w:r>
        <w:rPr>
          <w:rFonts w:ascii="Times New Roman" w:hAnsi="Times New Roman" w:eastAsia="Times New Roman" w:cs="Times New Roman"/>
          <w:b w:val="0"/>
          <w:i w:val="0"/>
          <w:color w:val="000000"/>
          <w:sz w:val="24"/>
        </w:rPr>
        <w:t>: Pairwise k-mer distances → hierarchical clustering (scipy, average linkage) into groups of ≤200 taxa with 10–20% overlap</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Backbone tree</w:t>
      </w:r>
      <w:r>
        <w:rPr>
          <w:rFonts w:ascii="Times New Roman" w:hAnsi="Times New Roman" w:eastAsia="Times New Roman" w:cs="Times New Roman"/>
          <w:b w:val="0"/>
          <w:i w:val="0"/>
          <w:color w:val="000000"/>
          <w:sz w:val="24"/>
        </w:rPr>
        <w:t>: Representative centroid sequences → FastME NJ tree</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Subtree inference</w:t>
      </w:r>
      <w:r>
        <w:rPr>
          <w:rFonts w:ascii="Times New Roman" w:hAnsi="Times New Roman" w:eastAsia="Times New Roman" w:cs="Times New Roman"/>
          <w:b w:val="0"/>
          <w:i w:val="0"/>
          <w:color w:val="000000"/>
          <w:sz w:val="24"/>
        </w:rPr>
        <w:t>: Within-cluster trees via FastME BIONJ+BNNI</w:t>
      </w:r>
    </w:p>
    <w:p>
      <w:pPr>
        <w:spacing w:after="120" w:line="360" w:lineRule="auto"/>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i w:val="0"/>
          <w:color w:val="000000"/>
          <w:sz w:val="24"/>
        </w:rPr>
        <w:t>Grafting</w:t>
      </w:r>
      <w:r>
        <w:rPr>
          <w:rFonts w:ascii="Times New Roman" w:hAnsi="Times New Roman" w:eastAsia="Times New Roman" w:cs="Times New Roman"/>
          <w:b w:val="0"/>
          <w:i w:val="0"/>
          <w:color w:val="000000"/>
          <w:sz w:val="24"/>
        </w:rPr>
        <w:t>: Subtrees attached to backbone via Evolutionary Placement Algorithm (EPA [16])</w:t>
      </w:r>
    </w:p>
    <w:p>
      <w:pPr>
        <w:spacing w:after="120" w:line="360" w:lineRule="auto"/>
      </w:pPr>
      <w:r>
        <w:rPr>
          <w:rFonts w:ascii="Times New Roman" w:hAnsi="Times New Roman" w:eastAsia="Times New Roman" w:cs="Times New Roman"/>
          <w:b w:val="0"/>
          <w:i w:val="0"/>
          <w:color w:val="000000"/>
          <w:sz w:val="24"/>
        </w:rPr>
        <w:t xml:space="preserve">The adaptive pipeline selects between simplified and DCM+EPA modes based on dataset size, controlled by the </w:t>
      </w:r>
      <w:r>
        <w:rPr>
          <w:rFonts w:ascii="Consolas" w:hAnsi="Consolas" w:eastAsia="Consolas" w:cs="Consolas"/>
          <w:b w:val="0"/>
          <w:i w:val="0"/>
          <w:color w:val="000000"/>
          <w:sz w:val="24"/>
        </w:rPr>
        <w:t>SIMPLE_THRESHOLD=500</w:t>
      </w:r>
      <w:r>
        <w:rPr>
          <w:rFonts w:ascii="Times New Roman" w:hAnsi="Times New Roman" w:eastAsia="Times New Roman" w:cs="Times New Roman"/>
          <w:b w:val="0"/>
          <w:i w:val="0"/>
          <w:color w:val="000000"/>
          <w:sz w:val="24"/>
        </w:rPr>
        <w:t xml:space="preserve"> parameter. For n≤500, Fusang uses the simplified pipeline (k-mer→cosine→NJ plus BME-scored NNI refinement for n≥100) by default, since DCM adds no accuracy benefit at small-to-medium scales. For n&gt;500, Fusang switches to DCM+EPA for scalability. An earlier configuration with the threshold set to 2,000 forced the simplified pipeline at n=1000 and was reverted after the accuracy figures available at the time appeared to regress (0.088 → 0.102 under the superseded nRF implementation); that basis is withdrawn in the following paragraph.</w:t>
      </w:r>
    </w:p>
    <w:p>
      <w:pPr>
        <w:spacing w:after="120" w:line="360" w:lineRule="auto"/>
      </w:pPr>
      <w:r>
        <w:rPr>
          <w:rFonts w:ascii="Times New Roman" w:hAnsi="Times New Roman" w:eastAsia="Times New Roman" w:cs="Times New Roman"/>
          <w:b/>
          <w:i w:val="0"/>
          <w:color w:val="000000"/>
          <w:sz w:val="24"/>
        </w:rPr>
        <w:t>Accuracy basis for the pipeline threshold — withdrawn and reversed.</w:t>
      </w:r>
      <w:r>
        <w:rPr>
          <w:rFonts w:ascii="Times New Roman" w:hAnsi="Times New Roman" w:eastAsia="Times New Roman" w:cs="Times New Roman"/>
          <w:b w:val="0"/>
          <w:i w:val="0"/>
          <w:color w:val="000000"/>
          <w:sz w:val="24"/>
        </w:rPr>
        <w:t xml:space="preserve"> The source-code rationale for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recorded that DCM+EPA was more accurate than the simplified pipeline at n=1,000 (nRF 0.084 vs 0.092, seeds 401–405), and an earlier version of this manuscript repeated that claim (DCM nRF=0.083 ± 0.005, 9 seeds 401–409, vs simplified nRF=0.102 on seed 401). Both come from the superseded root-dependent nRF implementation, and the seed 401–409 true trees are no longer available, so they cannot be rescored. Re-measuring the comparison under the standard root-independent unrooted RF on ten clean INDELible seeds (1000–1009) reverses the ordering: the simplified pipeline gives mean nRF 0.2617 ± 0.0156 against DCM+EPA's 0.2726 ± 0.0177, better on 10/10 seeds (mean paired difference −0.011 nRF; Wilcoxon p=0.0020 on integer RF counts; paired d = −1.45; 10,000-replicate bootstrap 95% CI [−0.0156, −0.0068]). DCM+EPA is therefore retained for n &gt; 500 on </w:t>
      </w:r>
      <w:r>
        <w:rPr>
          <w:rFonts w:ascii="Times New Roman" w:hAnsi="Times New Roman" w:eastAsia="Times New Roman" w:cs="Times New Roman"/>
          <w:b/>
          <w:i w:val="0"/>
          <w:color w:val="000000"/>
          <w:sz w:val="24"/>
        </w:rPr>
        <w:t>runtime</w:t>
      </w:r>
      <w:r>
        <w:rPr>
          <w:rFonts w:ascii="Times New Roman" w:hAnsi="Times New Roman" w:eastAsia="Times New Roman" w:cs="Times New Roman"/>
          <w:b w:val="0"/>
          <w:i w:val="0"/>
          <w:color w:val="000000"/>
          <w:sz w:val="24"/>
        </w:rPr>
        <w:t xml:space="preserve"> grounds — roughly 3× faster at this scale (162 s vs 502 s per seed) — and not on accuracy grounds. Two consequences follow: the n=1,000 row of Table 1 was produced by DCM+EPA and so overstates Fusang's error at that scale by about 0.010 nRF relative to what the simplified pipeline achieves on the same seeds; and the cross-scale trend in Table 1 conflates a pipeline switch with the effect of taxon count. Per-seed data: </w:t>
      </w:r>
      <w:r>
        <w:rPr>
          <w:rFonts w:ascii="Consolas" w:hAnsi="Consolas" w:eastAsia="Consolas" w:cs="Consolas"/>
          <w:b w:val="0"/>
          <w:i w:val="0"/>
          <w:color w:val="000000"/>
          <w:sz w:val="24"/>
        </w:rPr>
        <w:t>table_threshold_n1000_nrfstandard.csv</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table_threshold_n1000_summary.json</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FastME integration</w:t>
      </w:r>
    </w:p>
    <w:p>
      <w:pPr>
        <w:spacing w:after="120" w:line="360" w:lineRule="auto"/>
      </w:pPr>
      <w:r>
        <w:rPr>
          <w:rFonts w:ascii="Times New Roman" w:hAnsi="Times New Roman" w:eastAsia="Times New Roman" w:cs="Times New Roman"/>
          <w:b w:val="0"/>
          <w:i w:val="0"/>
          <w:color w:val="000000"/>
          <w:sz w:val="24"/>
        </w:rPr>
        <w:t>FastME v2.1.6.4 [17] is the default tree builder. FastME implements the Minimum Evolution principle with bioNJ [18] as the initial topology and BNNI (Branch and Bound Nearest Neighbor Interchange) as the optimization step. The implementation discovers FastME via a priority cascade:</w:t>
      </w:r>
    </w:p>
    <w:p>
      <w:pPr>
        <w:spacing w:after="120" w:line="360" w:lineRule="auto"/>
      </w:pPr>
      <w:r>
        <w:rPr>
          <w:rFonts w:ascii="Times New Roman" w:hAnsi="Times New Roman" w:eastAsia="Times New Roman" w:cs="Times New Roman"/>
          <w:b w:val="0"/>
          <w:i w:val="0"/>
          <w:color w:val="000000"/>
          <w:sz w:val="24"/>
        </w:rPr>
        <w:t>1. Bundled Windows-native binary (</w:t>
      </w:r>
      <w:r>
        <w:rPr>
          <w:rFonts w:ascii="Consolas" w:hAnsi="Consolas" w:eastAsia="Consolas" w:cs="Consolas"/>
          <w:b w:val="0"/>
          <w:i w:val="0"/>
          <w:color w:val="000000"/>
          <w:sz w:val="24"/>
        </w:rPr>
        <w:t>fastme_bin/fastme.exe</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2. WSL-installed binary (</w:t>
      </w:r>
      <w:r>
        <w:rPr>
          <w:rFonts w:ascii="Consolas" w:hAnsi="Consolas" w:eastAsia="Consolas" w:cs="Consolas"/>
          <w:b w:val="0"/>
          <w:i w:val="0"/>
          <w:color w:val="000000"/>
          <w:sz w:val="24"/>
        </w:rPr>
        <w:t>/usr/local/bin/fastme</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3. Project-bundled Linux binary (</w:t>
      </w:r>
      <w:r>
        <w:rPr>
          <w:rFonts w:ascii="Consolas" w:hAnsi="Consolas" w:eastAsia="Consolas" w:cs="Consolas"/>
          <w:b w:val="0"/>
          <w:i w:val="0"/>
          <w:color w:val="000000"/>
          <w:sz w:val="24"/>
        </w:rPr>
        <w:t>fastme_bin/fastme_linux</w:t>
      </w:r>
      <w:r>
        <w:rPr>
          <w:rFonts w:ascii="Times New Roman" w:hAnsi="Times New Roman" w:eastAsia="Times New Roman" w:cs="Times New Roman"/>
          <w:b w:val="0"/>
          <w:i w:val="0"/>
          <w:color w:val="000000"/>
          <w:sz w:val="24"/>
        </w:rPr>
        <w:t>)</w:t>
      </w:r>
    </w:p>
    <w:p>
      <w:pPr>
        <w:spacing w:after="120" w:line="360" w:lineRule="auto"/>
      </w:pPr>
      <w:r>
        <w:rPr>
          <w:rFonts w:ascii="Times New Roman" w:hAnsi="Times New Roman" w:eastAsia="Times New Roman" w:cs="Times New Roman"/>
          <w:b w:val="0"/>
          <w:i w:val="0"/>
          <w:color w:val="000000"/>
          <w:sz w:val="24"/>
        </w:rPr>
        <w:t>The Windows-native binary (PE32+ x86-64, 725 KB) eliminates the WSL dependency, enabling single-command operation on native Windows with zero cross-system overhead.</w:t>
      </w:r>
    </w:p>
    <w:p>
      <w:pPr>
        <w:spacing w:after="120" w:line="360" w:lineRule="auto"/>
      </w:pPr>
      <w:r>
        <w:rPr>
          <w:rFonts w:ascii="Times New Roman" w:hAnsi="Times New Roman" w:eastAsia="Times New Roman" w:cs="Times New Roman"/>
          <w:b w:val="0"/>
          <w:i w:val="0"/>
          <w:color w:val="000000"/>
          <w:sz w:val="24"/>
        </w:rPr>
        <w:t>Benchmark timings for the tree-building stage alone: at n=200, NJ 1.3 s → FastME 0.4 s (3.5× speedup); at n=500, 13.2 s → 0.9 s (15.1×); at n=1000, 104.3 s → 3.6 s (28.8×).</w:t>
      </w:r>
    </w:p>
    <w:p>
      <w:pPr>
        <w:keepNext/>
        <w:spacing w:before="200" w:after="120" w:line="276" w:lineRule="auto"/>
      </w:pPr>
      <w:r>
        <w:rPr>
          <w:rFonts w:ascii="Times New Roman" w:hAnsi="Times New Roman" w:eastAsia="Times New Roman" w:cs="Times New Roman"/>
          <w:b/>
          <w:i w:val="0"/>
          <w:color w:val="000000"/>
          <w:sz w:val="26"/>
        </w:rPr>
        <w:t>Adaptive parameter selection</w:t>
      </w:r>
    </w:p>
    <w:p>
      <w:pPr>
        <w:spacing w:after="120" w:line="360" w:lineRule="auto"/>
      </w:pPr>
      <w:r>
        <w:rPr>
          <w:rFonts w:ascii="Times New Roman" w:hAnsi="Times New Roman" w:eastAsia="Times New Roman" w:cs="Times New Roman"/>
          <w:b w:val="0"/>
          <w:i w:val="0"/>
          <w:color w:val="000000"/>
          <w:sz w:val="24"/>
        </w:rPr>
        <w:t>Fusang automatically selects optimal k and gap parameters based on the number of input taxa n:</w:t>
      </w:r>
    </w:p>
    <w:p>
      <w:pPr>
        <w:pStyle w:val="ListBullet"/>
        <w:spacing w:after="60" w:line="360" w:lineRule="auto"/>
      </w:pPr>
      <w:r>
        <w:rPr>
          <w:rFonts w:ascii="Times New Roman" w:hAnsi="Times New Roman" w:eastAsia="Times New Roman" w:cs="Times New Roman"/>
          <w:b w:val="0"/>
          <w:i w:val="0"/>
          <w:color w:val="000000"/>
          <w:sz w:val="24"/>
        </w:rPr>
        <w:t>n ≤ 100: k=4,gap1 (emphasizes local conservation for shallow divergence)</w:t>
      </w:r>
    </w:p>
    <w:p>
      <w:pPr>
        <w:pStyle w:val="ListBullet"/>
        <w:spacing w:after="60" w:line="360" w:lineRule="auto"/>
      </w:pPr>
      <w:r>
        <w:rPr>
          <w:rFonts w:ascii="Times New Roman" w:hAnsi="Times New Roman" w:eastAsia="Times New Roman" w:cs="Times New Roman"/>
          <w:b w:val="0"/>
          <w:i w:val="0"/>
          <w:color w:val="000000"/>
          <w:sz w:val="24"/>
        </w:rPr>
        <w:t>n &gt; 100: k=5,gap2 (captures intermediate-range correlations for moderate divergence)</w:t>
      </w:r>
    </w:p>
    <w:p>
      <w:pPr>
        <w:spacing w:after="120" w:line="360" w:lineRule="auto"/>
      </w:pPr>
      <w:r>
        <w:rPr>
          <w:rFonts w:ascii="Times New Roman" w:hAnsi="Times New Roman" w:eastAsia="Times New Roman" w:cs="Times New Roman"/>
          <w:b w:val="0"/>
          <w:i w:val="0"/>
          <w:color w:val="000000"/>
          <w:sz w:val="24"/>
        </w:rPr>
        <w:t>This adaptive strategy was derived from stability benchmarking across n=20/50/100/200/500 (see Results). Manual override is available via command-line flags.</w:t>
      </w:r>
    </w:p>
    <w:p>
      <w:pPr>
        <w:keepNext/>
        <w:spacing w:before="200" w:after="120" w:line="276" w:lineRule="auto"/>
      </w:pPr>
      <w:r>
        <w:rPr>
          <w:rFonts w:ascii="Times New Roman" w:hAnsi="Times New Roman" w:eastAsia="Times New Roman" w:cs="Times New Roman"/>
          <w:b/>
          <w:i w:val="0"/>
          <w:color w:val="000000"/>
          <w:sz w:val="26"/>
        </w:rPr>
        <w:t>Benchmark design</w:t>
      </w:r>
    </w:p>
    <w:p>
      <w:pPr>
        <w:keepNext/>
        <w:spacing w:before="200" w:after="120" w:line="276" w:lineRule="auto"/>
      </w:pPr>
      <w:r>
        <w:rPr>
          <w:rFonts w:ascii="Times New Roman" w:hAnsi="Times New Roman" w:eastAsia="Times New Roman" w:cs="Times New Roman"/>
          <w:b/>
          <w:i w:val="0"/>
          <w:color w:val="000000"/>
          <w:sz w:val="24"/>
        </w:rPr>
        <w:t>Simulated data (without indels)</w:t>
      </w:r>
    </w:p>
    <w:p>
      <w:pPr>
        <w:spacing w:after="120" w:line="360" w:lineRule="auto"/>
      </w:pPr>
      <w:r>
        <w:rPr>
          <w:rFonts w:ascii="Times New Roman" w:hAnsi="Times New Roman" w:eastAsia="Times New Roman" w:cs="Times New Roman"/>
          <w:b w:val="0"/>
          <w:i w:val="0"/>
          <w:color w:val="000000"/>
          <w:sz w:val="24"/>
        </w:rPr>
        <w:t>All simulated benchmark datasets were generated with INDELible v1.03 [19]. Substitutions followed a general time-reversible (GTR) model with exchangeabilities a=0.2, b=0.4, c=0.6, d=0.8, e=1.2 (f=1, i.e. the standard INDELible GTR example rates) and equal base frequencies; among-site rate heterogeneity was modelled with a discrete gamma distribution (shape α=1.0, 4 rate categories). Trees were drawn from a birth–death prior (speciation rate λ=1.0, extinction rate μ=0.5) conditioned on n extant tips; extinct lineages were pruned, tips were extended to the sampling time by an exponential waiting time, and branch lengths were rescaled so that the mean branch length corresponds to 0.005 expected substitutions per site — the divergence level of the pilot simulations (substitution rate 0.05 subs/site per unit branch length × branch length 0.1). Root sequence length L=500 bp. Dataset sizes: n=20, 50, 100, 200, 500, 1000, 10000.</w:t>
      </w:r>
    </w:p>
    <w:p>
      <w:pPr>
        <w:spacing w:after="120" w:line="360" w:lineRule="auto"/>
      </w:pPr>
      <w:r>
        <w:rPr>
          <w:rFonts w:ascii="Times New Roman" w:hAnsi="Times New Roman" w:eastAsia="Times New Roman" w:cs="Times New Roman"/>
          <w:b/>
          <w:i w:val="0"/>
          <w:color w:val="000000"/>
          <w:sz w:val="24"/>
        </w:rPr>
        <w:t>Sequence length choice (L=500 bp):</w:t>
      </w:r>
      <w:r>
        <w:rPr>
          <w:rFonts w:ascii="Times New Roman" w:hAnsi="Times New Roman" w:eastAsia="Times New Roman" w:cs="Times New Roman"/>
          <w:b w:val="0"/>
          <w:i w:val="0"/>
          <w:color w:val="000000"/>
          <w:sz w:val="24"/>
        </w:rPr>
        <w:t xml:space="preserve"> 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p>
      <w:pPr>
        <w:keepNext/>
        <w:spacing w:before="200" w:after="120" w:line="276" w:lineRule="auto"/>
      </w:pPr>
      <w:r>
        <w:rPr>
          <w:rFonts w:ascii="Times New Roman" w:hAnsi="Times New Roman" w:eastAsia="Times New Roman" w:cs="Times New Roman"/>
          <w:b/>
          <w:i w:val="0"/>
          <w:color w:val="000000"/>
          <w:sz w:val="24"/>
        </w:rPr>
        <w:t>Simulated data (with indels)</w:t>
      </w:r>
    </w:p>
    <w:p>
      <w:pPr>
        <w:spacing w:after="120" w:line="360" w:lineRule="auto"/>
      </w:pPr>
      <w:r>
        <w:rPr>
          <w:rFonts w:ascii="Times New Roman" w:hAnsi="Times New Roman" w:eastAsia="Times New Roman" w:cs="Times New Roman"/>
          <w:b w:val="0"/>
          <w:i w:val="0"/>
          <w:color w:val="000000"/>
          <w:sz w:val="24"/>
        </w:rPr>
        <w:t xml:space="preserve">Insertions and deletions occurred alongside substitutions at equal rates, with lengths drawn from a geometric distribution of mean 3 bp. In INDELible this is specified as a negative binomial </w:t>
      </w:r>
      <w:r>
        <w:rPr>
          <w:rFonts w:ascii="Consolas" w:hAnsi="Consolas" w:eastAsia="Consolas" w:cs="Consolas"/>
          <w:b w:val="0"/>
          <w:i w:val="0"/>
          <w:color w:val="000000"/>
          <w:sz w:val="24"/>
        </w:rPr>
        <w:t>NB q=2/3, r=1</w:t>
      </w:r>
      <w:r>
        <w:rPr>
          <w:rFonts w:ascii="Times New Roman" w:hAnsi="Times New Roman" w:eastAsia="Times New Roman" w:cs="Times New Roman"/>
          <w:b w:val="0"/>
          <w:i w:val="0"/>
          <w:color w:val="000000"/>
          <w:sz w:val="24"/>
        </w:rPr>
        <w:t xml:space="preserve">, whose mean is 1 + r·q/(1−q) = 3 bp; we verified the realised indel-length distribution against theory in a two-taxon control experiment (observed SD 3.8 bp vs theoretical 3.9 bp). Indel rates are reported throughout as the absolute per-site indel rate (0.005, 0.01, 0.02, 0.05), i.e. ρ = 0.1, 0.2, 0.4 and 1.0 relative to the substitution rate. Because INDELible's </w:t>
      </w:r>
      <w:r>
        <w:rPr>
          <w:rFonts w:ascii="Consolas" w:hAnsi="Consolas" w:eastAsia="Consolas" w:cs="Consolas"/>
          <w:b w:val="0"/>
          <w:i w:val="0"/>
          <w:color w:val="000000"/>
          <w:sz w:val="24"/>
        </w:rPr>
        <w:t>[indelrate]</w:t>
      </w:r>
      <w:r>
        <w:rPr>
          <w:rFonts w:ascii="Times New Roman" w:hAnsi="Times New Roman" w:eastAsia="Times New Roman" w:cs="Times New Roman"/>
          <w:b w:val="0"/>
          <w:i w:val="0"/>
          <w:color w:val="000000"/>
          <w:sz w:val="24"/>
        </w:rPr>
        <w:t xml:space="preserve"> parameter sets the insertion rate and the deletion rate </w:t>
      </w:r>
      <w:r>
        <w:rPr>
          <w:rFonts w:ascii="Times New Roman" w:hAnsi="Times New Roman" w:eastAsia="Times New Roman" w:cs="Times New Roman"/>
          <w:b w:val="0"/>
          <w:i/>
          <w:color w:val="000000"/>
          <w:sz w:val="24"/>
        </w:rPr>
        <w:t>separately</w:t>
      </w:r>
      <w:r>
        <w:rPr>
          <w:rFonts w:ascii="Times New Roman" w:hAnsi="Times New Roman" w:eastAsia="Times New Roman" w:cs="Times New Roman"/>
          <w:b w:val="0"/>
          <w:i w:val="0"/>
          <w:color w:val="000000"/>
          <w:sz w:val="24"/>
        </w:rPr>
        <w:t>, the control-file value was set to ρ/2 so that the total indel event rate matches the intended ρ. Multi-seed benchmarks used 130 independent seeds (birth–death tree seed and INDELible random seed both derived from the same integer) for statistical power.</w:t>
      </w:r>
    </w:p>
    <w:p>
      <w:pPr>
        <w:spacing w:after="120" w:line="360" w:lineRule="auto"/>
      </w:pPr>
      <w:r>
        <w:rPr>
          <w:rFonts w:ascii="Times New Roman" w:hAnsi="Times New Roman" w:eastAsia="Times New Roman" w:cs="Times New Roman"/>
          <w:b/>
          <w:i w:val="0"/>
          <w:color w:val="000000"/>
          <w:sz w:val="24"/>
        </w:rPr>
        <w:t>Simulation reproducibility.</w:t>
      </w:r>
      <w:r>
        <w:rPr>
          <w:rFonts w:ascii="Times New Roman" w:hAnsi="Times New Roman" w:eastAsia="Times New Roman" w:cs="Times New Roman"/>
          <w:b w:val="0"/>
          <w:i w:val="0"/>
          <w:color w:val="000000"/>
          <w:sz w:val="24"/>
        </w:rPr>
        <w:t xml:space="preserve"> The tree generator (</w:t>
      </w:r>
      <w:r>
        <w:rPr>
          <w:rFonts w:ascii="Consolas" w:hAnsi="Consolas" w:eastAsia="Consolas" w:cs="Consolas"/>
          <w:b w:val="0"/>
          <w:i w:val="0"/>
          <w:color w:val="000000"/>
          <w:sz w:val="24"/>
        </w:rPr>
        <w:t>gen_indelible_sim.py</w:t>
      </w:r>
      <w:r>
        <w:rPr>
          <w:rFonts w:ascii="Times New Roman" w:hAnsi="Times New Roman" w:eastAsia="Times New Roman" w:cs="Times New Roman"/>
          <w:b w:val="0"/>
          <w:i w:val="0"/>
          <w:color w:val="000000"/>
          <w:sz w:val="24"/>
        </w:rPr>
        <w:t>; pure Python standard library, deterministic given a seed), the INDELible control files it emits, and the benchmark driver (</w:t>
      </w:r>
      <w:r>
        <w:rPr>
          <w:rFonts w:ascii="Consolas" w:hAnsi="Consolas" w:eastAsia="Consolas" w:cs="Consolas"/>
          <w:b w:val="0"/>
          <w:i w:val="0"/>
          <w:color w:val="000000"/>
          <w:sz w:val="24"/>
        </w:rPr>
        <w:t>run_bench_indelible.py</w:t>
      </w:r>
      <w:r>
        <w:rPr>
          <w:rFonts w:ascii="Times New Roman" w:hAnsi="Times New Roman" w:eastAsia="Times New Roman" w:cs="Times New Roman"/>
          <w:b w:val="0"/>
          <w:i w:val="0"/>
          <w:color w:val="000000"/>
          <w:sz w:val="24"/>
        </w:rPr>
        <w:t>) are included in the reproduction package, together with a pinned Conda environment specification (</w:t>
      </w:r>
      <w:r>
        <w:rPr>
          <w:rFonts w:ascii="Consolas" w:hAnsi="Consolas" w:eastAsia="Consolas" w:cs="Consolas"/>
          <w:b w:val="0"/>
          <w:i w:val="0"/>
          <w:color w:val="000000"/>
          <w:sz w:val="24"/>
        </w:rPr>
        <w:t>environment.yml</w:t>
      </w:r>
      <w:r>
        <w:rPr>
          <w:rFonts w:ascii="Times New Roman" w:hAnsi="Times New Roman" w:eastAsia="Times New Roman" w:cs="Times New Roman"/>
          <w:b w:val="0"/>
          <w:i w:val="0"/>
          <w:color w:val="000000"/>
          <w:sz w:val="24"/>
        </w:rPr>
        <w:t>: Python 3.11, MAFFT 7.526, FastTree 2.2.0, IQ-TREE 2.4.0). Every simulated dataset — FASTA, true tree, alignment, and both inferred trees — is regenerable from its seed with the exact software versions recorded here. Two toolchain consistency checks were performed: (i) regenerating the n=200/seed=100 dataset reproduced the committed FASTA byte-for-byte; and (ii) re-running the full n=200 indel benchmark under the pinned environment reproduced the reported Fusang mean within 0.0004 nRF and the FastTree2 trees bit-for-bit (130/130), with per-seed Fusang differences confined to ±1–2 bipartitions arising from BLAS-dependent floating-point tie-breaking in NJ across library versions (within-environment runs are deterministic: three repeats of the same seed produced bit-identical trees). Fusang per-seed values should therefore be reproduced under the pinned environment; summary statistics are robust to these platform effects. The n=500/n=1000 benchmarks additionally used MAFFT 7.525 with the identical FastTree 2.2.0 binary (toolchain versions are recorded per benchmark in the reproduction package).</w:t>
      </w:r>
    </w:p>
    <w:p>
      <w:pPr>
        <w:keepNext/>
        <w:spacing w:before="200" w:after="120" w:line="276" w:lineRule="auto"/>
      </w:pPr>
      <w:r>
        <w:rPr>
          <w:rFonts w:ascii="Times New Roman" w:hAnsi="Times New Roman" w:eastAsia="Times New Roman" w:cs="Times New Roman"/>
          <w:b/>
          <w:i w:val="0"/>
          <w:color w:val="000000"/>
          <w:sz w:val="24"/>
        </w:rPr>
        <w:t>Statistical framework</w:t>
      </w:r>
    </w:p>
    <w:p>
      <w:pPr>
        <w:spacing w:after="120" w:line="360" w:lineRule="auto"/>
      </w:pPr>
      <w:r>
        <w:rPr>
          <w:rFonts w:ascii="Times New Roman" w:hAnsi="Times New Roman" w:eastAsia="Times New Roman" w:cs="Times New Roman"/>
          <w:b w:val="0"/>
          <w:i w:val="0"/>
          <w:color w:val="000000"/>
          <w:sz w:val="24"/>
        </w:rPr>
        <w:t>For multi-seed benchmarks, we report:</w:t>
      </w:r>
    </w:p>
    <w:p>
      <w:pPr>
        <w:pStyle w:val="ListBullet"/>
        <w:spacing w:after="60" w:line="360" w:lineRule="auto"/>
      </w:pPr>
      <w:r>
        <w:rPr>
          <w:rFonts w:ascii="Times New Roman" w:hAnsi="Times New Roman" w:eastAsia="Times New Roman" w:cs="Times New Roman"/>
          <w:b w:val="0"/>
          <w:i w:val="0"/>
          <w:color w:val="000000"/>
          <w:sz w:val="24"/>
        </w:rPr>
        <w:t>Mean and standard deviation of nRF across seeds</w:t>
      </w:r>
    </w:p>
    <w:p>
      <w:pPr>
        <w:pStyle w:val="ListBullet"/>
        <w:spacing w:after="60" w:line="360" w:lineRule="auto"/>
      </w:pPr>
      <w:r>
        <w:rPr>
          <w:rFonts w:ascii="Times New Roman" w:hAnsi="Times New Roman" w:eastAsia="Times New Roman" w:cs="Times New Roman"/>
          <w:b w:val="0"/>
          <w:i w:val="0"/>
          <w:color w:val="000000"/>
          <w:sz w:val="24"/>
        </w:rPr>
        <w:t xml:space="preserve">Wilcoxon signed-rank test p-values (paired per-seed comparison). Tests are run on </w:t>
      </w:r>
      <w:r>
        <w:rPr>
          <w:rFonts w:ascii="Times New Roman" w:hAnsi="Times New Roman" w:eastAsia="Times New Roman" w:cs="Times New Roman"/>
          <w:b/>
          <w:i w:val="0"/>
          <w:color w:val="000000"/>
          <w:sz w:val="24"/>
        </w:rPr>
        <w:t>integer RF counts</w:t>
      </w:r>
      <w:r>
        <w:rPr>
          <w:rFonts w:ascii="Times New Roman" w:hAnsi="Times New Roman" w:eastAsia="Times New Roman" w:cs="Times New Roman"/>
          <w:b w:val="0"/>
          <w:i w:val="0"/>
          <w:color w:val="000000"/>
          <w:sz w:val="24"/>
        </w:rPr>
        <w:t>, not on normalised nRF values: feeding independently rounded floating-point nRF values into the test introduces ~10⁻⁶ numerical noise that breaks rank ties and can change the resulting p-value. Zero differences are handled with the zero-split convention (</w:t>
      </w:r>
      <w:r>
        <w:rPr>
          <w:rFonts w:ascii="Consolas" w:hAnsi="Consolas" w:eastAsia="Consolas" w:cs="Consolas"/>
          <w:b w:val="0"/>
          <w:i w:val="0"/>
          <w:color w:val="000000"/>
          <w:sz w:val="24"/>
        </w:rPr>
        <w:t>zero_method='zsplit'</w:t>
      </w:r>
      <w:r>
        <w:rPr>
          <w:rFonts w:ascii="Times New Roman" w:hAnsi="Times New Roman" w:eastAsia="Times New Roman" w:cs="Times New Roman"/>
          <w:b w:val="0"/>
          <w:i w:val="0"/>
          <w:color w:val="000000"/>
          <w:sz w:val="24"/>
        </w:rPr>
        <w:t xml:space="preserve">, zeros split evenly between the positive and negative ranks); this convention is used for </w:t>
      </w:r>
      <w:r>
        <w:rPr>
          <w:rFonts w:ascii="Times New Roman" w:hAnsi="Times New Roman" w:eastAsia="Times New Roman" w:cs="Times New Roman"/>
          <w:b/>
          <w:i w:val="0"/>
          <w:color w:val="000000"/>
          <w:sz w:val="24"/>
        </w:rPr>
        <w:t>every</w:t>
      </w:r>
      <w:r>
        <w:rPr>
          <w:rFonts w:ascii="Times New Roman" w:hAnsi="Times New Roman" w:eastAsia="Times New Roman" w:cs="Times New Roman"/>
          <w:b w:val="0"/>
          <w:i w:val="0"/>
          <w:color w:val="000000"/>
          <w:sz w:val="24"/>
        </w:rPr>
        <w:t xml:space="preserve"> Wilcoxon signed-rank test reported in this manuscript, so no comparison is reported under whichever convention happens to favour it</w:t>
      </w:r>
    </w:p>
    <w:p>
      <w:pPr>
        <w:pStyle w:val="ListBullet"/>
        <w:spacing w:after="60" w:line="360" w:lineRule="auto"/>
      </w:pPr>
      <w:r>
        <w:rPr>
          <w:rFonts w:ascii="Times New Roman" w:hAnsi="Times New Roman" w:eastAsia="Times New Roman" w:cs="Times New Roman"/>
          <w:b w:val="0"/>
          <w:i w:val="0"/>
          <w:color w:val="000000"/>
          <w:sz w:val="24"/>
        </w:rPr>
        <w:t>Cohen's d effect size with 95% bootstrap confidence intervals</w:t>
      </w:r>
    </w:p>
    <w:p>
      <w:pPr>
        <w:pStyle w:val="ListBullet"/>
        <w:spacing w:after="60" w:line="360" w:lineRule="auto"/>
      </w:pPr>
      <w:r>
        <w:rPr>
          <w:rFonts w:ascii="Times New Roman" w:hAnsi="Times New Roman" w:eastAsia="Times New Roman" w:cs="Times New Roman"/>
          <w:b w:val="0"/>
          <w:i w:val="0"/>
          <w:color w:val="000000"/>
          <w:sz w:val="24"/>
        </w:rPr>
        <w:t>Bonferroni correction for multiple comparisons across datasets (6 ground truth datasets tested — n=200 clean, n=200 indel, n=500 clean, n=500 indel, n=1000 clean, n=1000 indel; adjusted α = 0.05/6 ≈ 0.008)</w:t>
      </w:r>
    </w:p>
    <w:p>
      <w:pPr>
        <w:pStyle w:val="ListBullet"/>
        <w:spacing w:after="60" w:line="360" w:lineRule="auto"/>
      </w:pPr>
      <w:r>
        <w:rPr>
          <w:rFonts w:ascii="Times New Roman" w:hAnsi="Times New Roman" w:eastAsia="Times New Roman" w:cs="Times New Roman"/>
          <w:b w:val="0"/>
          <w:i w:val="0"/>
          <w:color w:val="000000"/>
          <w:sz w:val="24"/>
        </w:rPr>
        <w:t>Benjamini-Hochberg FDR correction as a less conservative alternative. The 6 ground truth dataset comparisons constitute the pre-specified confirmatory family; all other reported p-values (e.g., SwissTree, alignment-free competitor, and pipeline-level comparisons) are secondary and should be interpreted as exploratory</w:t>
      </w:r>
    </w:p>
    <w:p>
      <w:pPr>
        <w:spacing w:after="120" w:line="360" w:lineRule="auto"/>
      </w:pPr>
      <w:r>
        <w:rPr>
          <w:rFonts w:ascii="Times New Roman" w:hAnsi="Times New Roman" w:eastAsia="Times New Roman" w:cs="Times New Roman"/>
          <w:b w:val="0"/>
          <w:i w:val="0"/>
          <w:color w:val="000000"/>
          <w:sz w:val="24"/>
        </w:rPr>
        <w:t>All statistical analyses were performed in Python using scipy.stats. We note that statistical power varies across dataset sizes: the 130-seed benchmark (n=200, indel) provides adequate power (≥80%) to detect a medium effect size (Cohen's d=0.5) at α=0.05 (two-sided paired test), while 30-seed benchmarks provide moderate power (~75% for d=0.5) and should be interpreted cautiously for non-significant results.</w:t>
      </w:r>
    </w:p>
    <w:p>
      <w:pPr>
        <w:spacing w:after="120" w:line="360" w:lineRule="auto"/>
      </w:pPr>
      <w:r>
        <w:rPr>
          <w:rFonts w:ascii="Times New Roman" w:hAnsi="Times New Roman" w:eastAsia="Times New Roman" w:cs="Times New Roman"/>
          <w:b/>
          <w:i w:val="0"/>
          <w:color w:val="000000"/>
          <w:sz w:val="24"/>
        </w:rPr>
        <w:t>Outlier handling</w:t>
      </w:r>
      <w:r>
        <w:rPr>
          <w:rFonts w:ascii="Times New Roman" w:hAnsi="Times New Roman" w:eastAsia="Times New Roman" w:cs="Times New Roman"/>
          <w:b w:val="0"/>
          <w:i w:val="0"/>
          <w:color w:val="000000"/>
          <w:sz w:val="24"/>
        </w:rPr>
        <w:t>: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In the 130-seed INDELible benchmark (n=200, indel rate=0.02, seeds 100–229) all 130 seeds produced valid trees and none exceeded the nRF&gt;0.3 threshold, so no exclusion was applied to the reported statistics; the rule is retained for the remaining conditions, where it does remove occasional MAFFT failure seeds. Complete raw data are provided in Supplementary Table S4.</w:t>
      </w:r>
    </w:p>
    <w:p>
      <w:pPr>
        <w:keepNext/>
        <w:spacing w:before="200" w:after="120" w:line="276" w:lineRule="auto"/>
      </w:pPr>
      <w:r>
        <w:rPr>
          <w:rFonts w:ascii="Times New Roman" w:hAnsi="Times New Roman" w:eastAsia="Times New Roman" w:cs="Times New Roman"/>
          <w:b/>
          <w:i w:val="0"/>
          <w:color w:val="000000"/>
          <w:sz w:val="24"/>
        </w:rPr>
        <w:t>Table 1 and Table 3 provenance</w:t>
      </w:r>
    </w:p>
    <w:p>
      <w:pPr>
        <w:spacing w:after="120" w:line="360" w:lineRule="auto"/>
      </w:pPr>
      <w:r>
        <w:rPr>
          <w:rFonts w:ascii="Times New Roman" w:hAnsi="Times New Roman" w:eastAsia="Times New Roman" w:cs="Times New Roman"/>
          <w:b w:val="0"/>
          <w:i w:val="0"/>
          <w:color w:val="000000"/>
          <w:sz w:val="24"/>
        </w:rPr>
        <w:t xml:space="preserve">All six cells of Table 1 (n = 200/500/1000 × clean/indel) were recomputed from the archived trees by </w:t>
      </w:r>
      <w:r>
        <w:rPr>
          <w:rFonts w:ascii="Consolas" w:hAnsi="Consolas" w:eastAsia="Consolas" w:cs="Consolas"/>
          <w:b w:val="0"/>
          <w:i w:val="0"/>
          <w:color w:val="000000"/>
          <w:sz w:val="24"/>
        </w:rPr>
        <w:t>rescore_table1_nrfstandard.py</w:t>
      </w:r>
      <w:r>
        <w:rPr>
          <w:rFonts w:ascii="Times New Roman" w:hAnsi="Times New Roman" w:eastAsia="Times New Roman" w:cs="Times New Roman"/>
          <w:b w:val="0"/>
          <w:i w:val="0"/>
          <w:color w:val="000000"/>
          <w:sz w:val="24"/>
        </w:rPr>
        <w:t xml:space="preserve"> using the standard root-independent unrooted RF defined below. Per-seed values are deposited as </w:t>
      </w:r>
      <w:r>
        <w:rPr>
          <w:rFonts w:ascii="Consolas" w:hAnsi="Consolas" w:eastAsia="Consolas" w:cs="Consolas"/>
          <w:b w:val="0"/>
          <w:i w:val="0"/>
          <w:color w:val="000000"/>
          <w:sz w:val="24"/>
        </w:rPr>
        <w:t>table1_nrfstandard/{cell}_nrfstandard.csv</w:t>
      </w:r>
      <w:r>
        <w:rPr>
          <w:rFonts w:ascii="Times New Roman" w:hAnsi="Times New Roman" w:eastAsia="Times New Roman" w:cs="Times New Roman"/>
          <w:b w:val="0"/>
          <w:i w:val="0"/>
          <w:color w:val="000000"/>
          <w:sz w:val="24"/>
        </w:rPr>
        <w:t xml:space="preserve">, and the summary statistics (means, SDs, Wilcoxon p-values on integer RF counts, Cohen's d, and win/loss/tie counts) as </w:t>
      </w:r>
      <w:r>
        <w:rPr>
          <w:rFonts w:ascii="Consolas" w:hAnsi="Consolas" w:eastAsia="Consolas" w:cs="Consolas"/>
          <w:b w:val="0"/>
          <w:i w:val="0"/>
          <w:color w:val="000000"/>
          <w:sz w:val="24"/>
        </w:rPr>
        <w:t>table1_nrfstandard/TABLE1_all_summary.json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Caution for reuse:</w:t>
      </w:r>
      <w:r>
        <w:rPr>
          <w:rFonts w:ascii="Times New Roman" w:hAnsi="Times New Roman" w:eastAsia="Times New Roman" w:cs="Times New Roman"/>
          <w:b w:val="0"/>
          <w:i w:val="0"/>
          <w:color w:val="000000"/>
          <w:sz w:val="24"/>
        </w:rPr>
        <w:t xml:space="preserve"> the </w:t>
      </w:r>
      <w:r>
        <w:rPr>
          <w:rFonts w:ascii="Consolas" w:hAnsi="Consolas" w:eastAsia="Consolas" w:cs="Consolas"/>
          <w:b w:val="0"/>
          <w:i w:val="0"/>
          <w:color w:val="000000"/>
          <w:sz w:val="24"/>
        </w:rPr>
        <w:t>bench_n*_30seeds.csv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summary_n*.json</w:t>
      </w:r>
      <w:r>
        <w:rPr>
          <w:rFonts w:ascii="Times New Roman" w:hAnsi="Times New Roman" w:eastAsia="Times New Roman" w:cs="Times New Roman"/>
          <w:b w:val="0"/>
          <w:i w:val="0"/>
          <w:color w:val="000000"/>
          <w:sz w:val="24"/>
        </w:rPr>
        <w:t xml:space="preserve"> files that sit alongside the tree files in </w:t>
      </w:r>
      <w:r>
        <w:rPr>
          <w:rFonts w:ascii="Consolas" w:hAnsi="Consolas" w:eastAsia="Consolas" w:cs="Consolas"/>
          <w:b w:val="0"/>
          <w:i w:val="0"/>
          <w:color w:val="000000"/>
          <w:sz w:val="24"/>
        </w:rPr>
        <w:t>indelible_n{500,1000}_{clean,indel}/</w:t>
      </w:r>
      <w:r>
        <w:rPr>
          <w:rFonts w:ascii="Times New Roman" w:hAnsi="Times New Roman" w:eastAsia="Times New Roman" w:cs="Times New Roman"/>
          <w:b w:val="0"/>
          <w:i w:val="0"/>
          <w:color w:val="000000"/>
          <w:sz w:val="24"/>
        </w:rPr>
        <w:t xml:space="preserve"> were written by the superseded, root-dependent nRF implementation and must not be cited; for example they record 0.147/0.137 for n=1000 clean, whereas the standard unrooted RF values reported in Table 1 are 0.257/0.212.</w:t>
      </w:r>
    </w:p>
    <w:p>
      <w:pPr>
        <w:spacing w:after="120" w:line="360" w:lineRule="auto"/>
      </w:pPr>
      <w:r>
        <w:rPr>
          <w:rFonts w:ascii="Times New Roman" w:hAnsi="Times New Roman" w:eastAsia="Times New Roman" w:cs="Times New Roman"/>
          <w:b w:val="0"/>
          <w:i w:val="0"/>
          <w:color w:val="000000"/>
          <w:sz w:val="24"/>
        </w:rPr>
        <w:t xml:space="preserve">The three indel-rate rows of Table 3 (n=200, L=500 bp, 130 seeds each) were rescored by the same script from the same archived trees; per-seed values are in </w:t>
      </w:r>
      <w:r>
        <w:rPr>
          <w:rFonts w:ascii="Consolas" w:hAnsi="Consolas" w:eastAsia="Consolas" w:cs="Consolas"/>
          <w:b w:val="0"/>
          <w:i w:val="0"/>
          <w:color w:val="000000"/>
          <w:sz w:val="24"/>
        </w:rPr>
        <w:t>table1_nrfstandard/indel0.005_nrfstandard.csv</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indel0.01_nrfstandard.csv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indel0.05_nrfstandard.csv</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Caution for reuse:</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indelible_sweep/sweep_indel0.0{05,01,05}.csv</w:t>
      </w:r>
      <w:r>
        <w:rPr>
          <w:rFonts w:ascii="Times New Roman" w:hAnsi="Times New Roman" w:eastAsia="Times New Roman" w:cs="Times New Roman"/>
          <w:b w:val="0"/>
          <w:i w:val="0"/>
          <w:color w:val="000000"/>
          <w:sz w:val="24"/>
        </w:rPr>
        <w:t xml:space="preserve"> store the superseded, root-dependent nRF values and must not be cited; for example </w:t>
      </w:r>
      <w:r>
        <w:rPr>
          <w:rFonts w:ascii="Consolas" w:hAnsi="Consolas" w:eastAsia="Consolas" w:cs="Consolas"/>
          <w:b w:val="0"/>
          <w:i w:val="0"/>
          <w:color w:val="000000"/>
          <w:sz w:val="24"/>
        </w:rPr>
        <w:t>sweep_indel0.05.csv</w:t>
      </w:r>
      <w:r>
        <w:rPr>
          <w:rFonts w:ascii="Times New Roman" w:hAnsi="Times New Roman" w:eastAsia="Times New Roman" w:cs="Times New Roman"/>
          <w:b w:val="0"/>
          <w:i w:val="0"/>
          <w:color w:val="000000"/>
          <w:sz w:val="24"/>
        </w:rPr>
        <w:t xml:space="preserve"> records ft2=0.167513 / fusang=0.152284 for seed 100, whereas the standard unrooted RF values for that same seed are 0.234 / 0.244 (130-seed means: 0.2020 / 0.1800 under the standard metric, against 0.1307 / 0.1119 in the superseded file).</w:t>
      </w:r>
    </w:p>
    <w:p>
      <w:pPr>
        <w:spacing w:after="120" w:line="360" w:lineRule="auto"/>
      </w:pPr>
      <w:r>
        <w:rPr>
          <w:rFonts w:ascii="Times New Roman" w:hAnsi="Times New Roman" w:eastAsia="Times New Roman" w:cs="Times New Roman"/>
          <w:b/>
          <w:i w:val="0"/>
          <w:color w:val="000000"/>
          <w:sz w:val="24"/>
        </w:rPr>
        <w:t>Reproducibility of the n=1,000 trees.</w:t>
      </w:r>
      <w:r>
        <w:rPr>
          <w:rFonts w:ascii="Times New Roman" w:hAnsi="Times New Roman" w:eastAsia="Times New Roman" w:cs="Times New Roman"/>
          <w:b w:val="0"/>
          <w:i w:val="0"/>
          <w:color w:val="000000"/>
          <w:sz w:val="24"/>
        </w:rPr>
        <w:t xml:space="preserve"> The archived n=1,000 trees could not be reproduced topology-for-topology: re-running the current code in the original pinned environment (WSL </w:t>
      </w:r>
      <w:r>
        <w:rPr>
          <w:rFonts w:ascii="Consolas" w:hAnsi="Consolas" w:eastAsia="Consolas" w:cs="Consolas"/>
          <w:b w:val="0"/>
          <w:i w:val="0"/>
          <w:color w:val="000000"/>
          <w:sz w:val="24"/>
        </w:rPr>
        <w:t>Ubuntu-24.04</w:t>
      </w:r>
      <w:r>
        <w:rPr>
          <w:rFonts w:ascii="Times New Roman" w:hAnsi="Times New Roman" w:eastAsia="Times New Roman" w:cs="Times New Roman"/>
          <w:b w:val="0"/>
          <w:i w:val="0"/>
          <w:color w:val="000000"/>
          <w:sz w:val="24"/>
        </w:rPr>
        <w:t xml:space="preserve">; conda environment </w:t>
      </w:r>
      <w:r>
        <w:rPr>
          <w:rFonts w:ascii="Consolas" w:hAnsi="Consolas" w:eastAsia="Consolas" w:cs="Consolas"/>
          <w:b w:val="0"/>
          <w:i w:val="0"/>
          <w:color w:val="000000"/>
          <w:sz w:val="24"/>
        </w:rPr>
        <w:t>/opt/miniconda3/envs/fusang_bench</w:t>
      </w:r>
      <w:r>
        <w:rPr>
          <w:rFonts w:ascii="Times New Roman" w:hAnsi="Times New Roman" w:eastAsia="Times New Roman" w:cs="Times New Roman"/>
          <w:b w:val="0"/>
          <w:i w:val="0"/>
          <w:color w:val="000000"/>
          <w:sz w:val="24"/>
        </w:rPr>
        <w:t xml:space="preserve">; Python 3.11.17, NumPy 2.4.6, SciPy 1.17.1, Numba 0.68.0) gives trees that differ from the archived ones by RF = 104, 4, 2, 14, 10, 18, 30, 178, 6 and 22 across seeds 1000–1009 (median 14), on a maximum of 2(n−3) = 1,994 bipartitions. The divergence most likely reflects code changes made after the benchmark was run; its magnitude is very uneven across seeds (seed 1007 alone accounts for RF = 178), and we have not identified the precise source. The archived scores are nevertheless representative at the level that matters: over the same ten seeds a fresh DCM+EPA re-run gives mean nRF 0.2726 against the archived 0.2717 (mean paired difference +0.0009, SD 0.0021, all ten per-seed differences below 0.007; paired Wilcoxon p=0.227 on integer RF counts, i.e. statistically indistinguishable). The Table 1 n=1,000 figures are therefore not artefacts of that topological non-reproducibility. Per-seed archived values are in </w:t>
      </w:r>
      <w:r>
        <w:rPr>
          <w:rFonts w:ascii="Consolas" w:hAnsi="Consolas" w:eastAsia="Consolas" w:cs="Consolas"/>
          <w:b w:val="0"/>
          <w:i w:val="0"/>
          <w:color w:val="000000"/>
          <w:sz w:val="24"/>
        </w:rPr>
        <w:t>table1_nrfstandard/n1000_clean_nrfstandard.csv</w:t>
      </w:r>
      <w:r>
        <w:rPr>
          <w:rFonts w:ascii="Times New Roman" w:hAnsi="Times New Roman" w:eastAsia="Times New Roman" w:cs="Times New Roman"/>
          <w:b w:val="0"/>
          <w:i w:val="0"/>
          <w:color w:val="000000"/>
          <w:sz w:val="24"/>
        </w:rPr>
        <w:t xml:space="preserve">; the re-run data, scripts, logs and environment record are in </w:t>
      </w:r>
      <w:r>
        <w:rPr>
          <w:rFonts w:ascii="Consolas" w:hAnsi="Consolas" w:eastAsia="Consolas" w:cs="Consolas"/>
          <w:b w:val="0"/>
          <w:i w:val="0"/>
          <w:color w:val="000000"/>
          <w:sz w:val="24"/>
        </w:rPr>
        <w:t>table_threshold_n1000_nrfstandard.csv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bench_n1000_threshold/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4"/>
        </w:rPr>
        <w:t>Accuracy metric</w:t>
      </w:r>
    </w:p>
    <w:p>
      <w:pPr>
        <w:spacing w:after="120" w:line="360" w:lineRule="auto"/>
      </w:pPr>
      <w:r>
        <w:rPr>
          <w:rFonts w:ascii="Times New Roman" w:hAnsi="Times New Roman" w:eastAsia="Times New Roman" w:cs="Times New Roman"/>
          <w:b w:val="0"/>
          <w:i w:val="0"/>
          <w:color w:val="000000"/>
          <w:sz w:val="24"/>
        </w:rPr>
        <w:t>Normalized Robinson-Foulds distance (nRF, root-independent / unrooted):</w:t>
      </w:r>
    </w:p>
    <w:p>
      <w:pPr>
        <w:spacing w:after="120" w:line="360" w:lineRule="auto"/>
      </w:pPr>
      <w:r>
        <w:rPr>
          <w:rFonts w:ascii="Times New Roman" w:hAnsi="Times New Roman" w:eastAsia="Times New Roman" w:cs="Times New Roman"/>
          <w:b w:val="0"/>
          <w:i w:val="0"/>
          <w:color w:val="000000"/>
          <w:sz w:val="24"/>
        </w:rPr>
        <w:t>nRF = RF / (2(n − 3)) = (|S₁ \ S₂| + |S₂ \ S₁|) / (2(n − 3))</w:t>
      </w:r>
    </w:p>
    <w:p>
      <w:pPr>
        <w:spacing w:after="120" w:line="360" w:lineRule="auto"/>
      </w:pPr>
      <w:r>
        <w:rPr>
          <w:rFonts w:ascii="Times New Roman" w:hAnsi="Times New Roman" w:eastAsia="Times New Roman" w:cs="Times New Roman"/>
          <w:b w:val="0"/>
          <w:i w:val="0"/>
          <w:color w:val="000000"/>
          <w:sz w:val="24"/>
        </w:rPr>
        <w:t xml:space="preserve">where S₁ and S₂ are the sets of </w:t>
      </w:r>
      <w:r>
        <w:rPr>
          <w:rFonts w:ascii="Times New Roman" w:hAnsi="Times New Roman" w:eastAsia="Times New Roman" w:cs="Times New Roman"/>
          <w:b/>
          <w:i w:val="0"/>
          <w:color w:val="000000"/>
          <w:sz w:val="24"/>
        </w:rPr>
        <w:t>non-trivial splits (bipartitions)</w:t>
      </w:r>
      <w:r>
        <w:rPr>
          <w:rFonts w:ascii="Times New Roman" w:hAnsi="Times New Roman" w:eastAsia="Times New Roman" w:cs="Times New Roman"/>
          <w:b w:val="0"/>
          <w:i w:val="0"/>
          <w:color w:val="000000"/>
          <w:sz w:val="24"/>
        </w:rPr>
        <w:t xml:space="preserve"> of the two trees on their shared leaf set of size n. Each split is canonicalised by keeping the side that does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contain the lexicographically smallest leaf, so the measure is independent of rooting position. For a fully resolved unrooted binary tree the number of non-trivial splits is exactly n − 3, making 2(n − 3) the maximum attainable RF between two fully resolved trees; nRF=0 is a perfect match and nRF=1 complete disagreement. Partially resolved trees (e.g. trees containing polytomies or zero-length branches that collapse to multifurcations) contribute fewer than n − 3 splits, which correspondingly increases their RF against a fully resolved reference — we report this because FastTree2 output occasionally contains collapsed branches.</w:t>
      </w:r>
    </w:p>
    <w:p>
      <w:pPr>
        <w:spacing w:after="120" w:line="360" w:lineRule="auto"/>
      </w:pPr>
      <w:r>
        <w:rPr>
          <w:rFonts w:ascii="Times New Roman" w:hAnsi="Times New Roman" w:eastAsia="Times New Roman" w:cs="Times New Roman"/>
          <w:b w:val="0"/>
          <w:i w:val="0"/>
          <w:color w:val="000000"/>
          <w:sz w:val="24"/>
        </w:rPr>
        <w:t xml:space="preserve">Computation: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in the reproduction package. We verified the implementation against DendroPy 5.0.8 (</w:t>
      </w:r>
      <w:r>
        <w:rPr>
          <w:rFonts w:ascii="Consolas" w:hAnsi="Consolas" w:eastAsia="Consolas" w:cs="Consolas"/>
          <w:b w:val="0"/>
          <w:i w:val="0"/>
          <w:color w:val="000000"/>
          <w:sz w:val="24"/>
        </w:rPr>
        <w:t>treecompare.symmetric_difference</w:t>
      </w:r>
      <w:r>
        <w:rPr>
          <w:rFonts w:ascii="Times New Roman" w:hAnsi="Times New Roman" w:eastAsia="Times New Roman" w:cs="Times New Roman"/>
          <w:b w:val="0"/>
          <w:i w:val="0"/>
          <w:color w:val="000000"/>
          <w:sz w:val="24"/>
        </w:rPr>
        <w:t xml:space="preserve"> with </w:t>
      </w:r>
      <w:r>
        <w:rPr>
          <w:rFonts w:ascii="Consolas" w:hAnsi="Consolas" w:eastAsia="Consolas" w:cs="Consolas"/>
          <w:b w:val="0"/>
          <w:i w:val="0"/>
          <w:color w:val="000000"/>
          <w:sz w:val="24"/>
        </w:rPr>
        <w:t>rooting='force-unrooted'</w:t>
      </w:r>
      <w:r>
        <w:rPr>
          <w:rFonts w:ascii="Times New Roman" w:hAnsi="Times New Roman" w:eastAsia="Times New Roman" w:cs="Times New Roman"/>
          <w:b w:val="0"/>
          <w:i w:val="0"/>
          <w:color w:val="000000"/>
          <w:sz w:val="24"/>
        </w:rPr>
        <w:t>) on five independent tree pairs spanning both conditions and three dataset scales, obtaining bit-identical values (e.g. 0.274112, 0.220812, 0.228426, 0.213198, 0.221328). An earlier in-house metric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xml:space="preserve">), which retained only the smaller child clade of each internal node, captured only 64 of the 197 non-trivial splits of an n=200 reference tree and systematically distorted comparisons in Fusang's favour; </w:t>
      </w:r>
      <w:r>
        <w:rPr>
          <w:rFonts w:ascii="Times New Roman" w:hAnsi="Times New Roman" w:eastAsia="Times New Roman" w:cs="Times New Roman"/>
          <w:b/>
          <w:i w:val="0"/>
          <w:color w:val="000000"/>
          <w:sz w:val="24"/>
        </w:rPr>
        <w:t>all nRF values reported here use the root-independent definition above</w:t>
      </w:r>
      <w:r>
        <w:rPr>
          <w:rFonts w:ascii="Times New Roman" w:hAnsi="Times New Roman" w:eastAsia="Times New Roman" w:cs="Times New Roman"/>
          <w:b w:val="0"/>
          <w:i w:val="0"/>
          <w:color w:val="000000"/>
          <w:sz w:val="24"/>
        </w:rPr>
        <w:t xml:space="preserve">, and every value from the earlier metric has been recomputed. A concrete illustration of the size and direction of that distortion: on clean n=200 data (seed 42, </w:t>
      </w:r>
      <w:r>
        <w:rPr>
          <w:rFonts w:ascii="Consolas" w:hAnsi="Consolas" w:eastAsia="Consolas" w:cs="Consolas"/>
          <w:b w:val="0"/>
          <w:i w:val="0"/>
          <w:color w:val="000000"/>
          <w:sz w:val="24"/>
        </w:rPr>
        <w:t>test_n200.fasta</w:t>
      </w:r>
      <w:r>
        <w:rPr>
          <w:rFonts w:ascii="Times New Roman" w:hAnsi="Times New Roman" w:eastAsia="Times New Roman" w:cs="Times New Roman"/>
          <w:b w:val="0"/>
          <w:i w:val="0"/>
          <w:color w:val="000000"/>
          <w:sz w:val="24"/>
        </w:rPr>
        <w:t>) the simplified pipeline's NJ tree is itself identical to the simulated true tree (RF=0, nRF=0.000), yet the earlier metric reported nRF=0.005 for it — that is, the superseded implementation invented error that the root-independent metric shows was never there. Errors of this kind, applied per tree and not uniformly across methods, are why the earlier comparisons in this manuscript were biased in Fusang's favour and why every affected value has been recomputed.</w:t>
      </w:r>
    </w:p>
    <w:p>
      <w:pPr>
        <w:keepNext/>
        <w:spacing w:before="200" w:after="120" w:line="276" w:lineRule="auto"/>
      </w:pPr>
      <w:r>
        <w:rPr>
          <w:rFonts w:ascii="Times New Roman" w:hAnsi="Times New Roman" w:eastAsia="Times New Roman" w:cs="Times New Roman"/>
          <w:b/>
          <w:i w:val="0"/>
          <w:color w:val="000000"/>
          <w:sz w:val="24"/>
        </w:rPr>
        <w:t>Comparison methods</w:t>
      </w:r>
    </w:p>
    <w:p>
      <w:pPr>
        <w:pStyle w:val="ListBullet"/>
        <w:spacing w:after="60" w:line="360" w:lineRule="auto"/>
      </w:pPr>
      <w:r>
        <w:rPr>
          <w:rFonts w:ascii="Times New Roman" w:hAnsi="Times New Roman" w:eastAsia="Times New Roman" w:cs="Times New Roman"/>
          <w:b/>
          <w:i w:val="0"/>
          <w:color w:val="000000"/>
          <w:sz w:val="24"/>
        </w:rPr>
        <w:t>Fusang: Tardigrade Edition</w:t>
      </w:r>
      <w:r>
        <w:rPr>
          <w:rFonts w:ascii="Times New Roman" w:hAnsi="Times New Roman" w:eastAsia="Times New Roman" w:cs="Times New Roman"/>
          <w:b w:val="0"/>
          <w:i w:val="0"/>
          <w:color w:val="000000"/>
          <w:sz w:val="24"/>
        </w:rPr>
        <w:t xml:space="preserve"> (this work): spaced k-mers (k=5,gap2), simplified or DCM pipeline, FastME BIONJ+BNNI</w:t>
      </w:r>
    </w:p>
    <w:p>
      <w:pPr>
        <w:pStyle w:val="ListBullet"/>
        <w:spacing w:after="60" w:line="360" w:lineRule="auto"/>
      </w:pPr>
      <w:r>
        <w:rPr>
          <w:rFonts w:ascii="Times New Roman" w:hAnsi="Times New Roman" w:eastAsia="Times New Roman" w:cs="Times New Roman"/>
          <w:b/>
          <w:i w:val="0"/>
          <w:color w:val="000000"/>
          <w:sz w:val="24"/>
        </w:rPr>
        <w:t>Fusang v1</w:t>
      </w:r>
      <w:r>
        <w:rPr>
          <w:rFonts w:ascii="Times New Roman" w:hAnsi="Times New Roman" w:eastAsia="Times New Roman" w:cs="Times New Roman"/>
          <w:b w:val="0"/>
          <w:i w:val="0"/>
          <w:color w:val="000000"/>
          <w:sz w:val="24"/>
        </w:rPr>
        <w:t xml:space="preserve"> [6]: deep learning-based, 4–40 taxa limit</w:t>
      </w:r>
    </w:p>
    <w:p>
      <w:pPr>
        <w:pStyle w:val="ListBullet"/>
        <w:spacing w:after="60" w:line="360" w:lineRule="auto"/>
      </w:pPr>
      <w:r>
        <w:rPr>
          <w:rFonts w:ascii="Times New Roman" w:hAnsi="Times New Roman" w:eastAsia="Times New Roman" w:cs="Times New Roman"/>
          <w:b/>
          <w:i w:val="0"/>
          <w:color w:val="000000"/>
          <w:sz w:val="24"/>
        </w:rPr>
        <w:t>FastTree2 v2.2.0</w:t>
      </w:r>
      <w:r>
        <w:rPr>
          <w:rFonts w:ascii="Times New Roman" w:hAnsi="Times New Roman" w:eastAsia="Times New Roman" w:cs="Times New Roman"/>
          <w:b w:val="0"/>
          <w:i w:val="0"/>
          <w:color w:val="000000"/>
          <w:sz w:val="24"/>
        </w:rPr>
        <w:t xml:space="preserve"> [20]: GTR+CAT approximation, MAFFT alignment [21]</w:t>
      </w:r>
    </w:p>
    <w:p>
      <w:pPr>
        <w:pStyle w:val="ListBullet"/>
        <w:spacing w:after="60" w:line="360" w:lineRule="auto"/>
      </w:pPr>
      <w:r>
        <w:rPr>
          <w:rFonts w:ascii="Times New Roman" w:hAnsi="Times New Roman" w:eastAsia="Times New Roman" w:cs="Times New Roman"/>
          <w:b/>
          <w:i w:val="0"/>
          <w:color w:val="000000"/>
          <w:sz w:val="24"/>
        </w:rPr>
        <w:t>RAxML-NG</w:t>
      </w:r>
      <w:r>
        <w:rPr>
          <w:rFonts w:ascii="Times New Roman" w:hAnsi="Times New Roman" w:eastAsia="Times New Roman" w:cs="Times New Roman"/>
          <w:b w:val="0"/>
          <w:i w:val="0"/>
          <w:color w:val="000000"/>
          <w:sz w:val="24"/>
        </w:rPr>
        <w:t xml:space="preserve"> [22] (version not captured in the run logs; the in-repo benchmark reports carry an evidently erroneous "v2.0.1" label, so no version is asserted): GTR+Γ, 10 parsimony + 10 random starting trees, MAFFT alignment</w:t>
      </w:r>
    </w:p>
    <w:p>
      <w:pPr>
        <w:pStyle w:val="ListBullet"/>
        <w:spacing w:after="60" w:line="360" w:lineRule="auto"/>
      </w:pPr>
      <w:r>
        <w:rPr>
          <w:rFonts w:ascii="Times New Roman" w:hAnsi="Times New Roman" w:eastAsia="Times New Roman" w:cs="Times New Roman"/>
          <w:b/>
          <w:i w:val="0"/>
          <w:color w:val="000000"/>
          <w:sz w:val="24"/>
        </w:rPr>
        <w:t>IQ-TREE2 v2.4.0</w:t>
      </w:r>
      <w:r>
        <w:rPr>
          <w:rFonts w:ascii="Times New Roman" w:hAnsi="Times New Roman" w:eastAsia="Times New Roman" w:cs="Times New Roman"/>
          <w:b w:val="0"/>
          <w:i w:val="0"/>
          <w:color w:val="000000"/>
          <w:sz w:val="24"/>
        </w:rPr>
        <w:t xml:space="preserve"> [23]: GTR model (fixed via </w:t>
      </w:r>
      <w:r>
        <w:rPr>
          <w:rFonts w:ascii="Consolas" w:hAnsi="Consolas" w:eastAsia="Consolas" w:cs="Consolas"/>
          <w:b w:val="0"/>
          <w:i w:val="0"/>
          <w:color w:val="000000"/>
          <w:sz w:val="24"/>
        </w:rPr>
        <w:t>-m GTR</w:t>
      </w:r>
      <w:r>
        <w:rPr>
          <w:rFonts w:ascii="Times New Roman" w:hAnsi="Times New Roman" w:eastAsia="Times New Roman" w:cs="Times New Roman"/>
          <w:b w:val="0"/>
          <w:i w:val="0"/>
          <w:color w:val="000000"/>
          <w:sz w:val="24"/>
        </w:rPr>
        <w:t>, not auto-selected), MAFFT alignment. IQ-TREE2 was evaluated on n=200 indel data (130 seeds) but failed to complete within practical time limits at larger scales (n=1000: 10/10 seeds timed out at 24h); on the n=200 subset, IQ-TREE2 produces trees 1.06× worse than Fusang's k-mer NJ (standard root-independent unrooted nRF=0.210 ± 0.031 vs 0.199 ± 0.030, paired Wilcoxon p=7.95×10⁻⁵, paired Cohen's d=0.385; Fusang better in 77/130 seeds, IQ-TREE2 better in 46, 7 ties). An earlier version of this manuscript reported 1.9× (0.231 vs 0.122); that figure divided an IQ-TREE2 value produced by one nRF implementation by a Fusang value produced by a different one, and is withdrawn — under either implementation applied consistently, Fusang is 0.199–0.201 and the gap is ≈1.06×. An independent replicate of the IQ-TREE2 runs (130/130 seeds, trees differing topologically on 128/130 seeds due to search stochasticity) gives 0.211 ± 0.031, 1.06×, p=5.2×10⁻⁵, d=0.397, confirming the conclusion is not run-specific. The residual gap likely reflects indel-induced alignment errors propagating to even fixed-model ML inference, illustrating a general limitation of alignment-dependent methods under high indel rates. Full data available in Supplementary Note S10.</w:t>
      </w:r>
    </w:p>
    <w:p>
      <w:pPr>
        <w:pStyle w:val="ListBullet"/>
        <w:spacing w:after="60" w:line="360" w:lineRule="auto"/>
      </w:pPr>
      <w:r>
        <w:rPr>
          <w:rFonts w:ascii="Times New Roman" w:hAnsi="Times New Roman" w:eastAsia="Times New Roman" w:cs="Times New Roman"/>
          <w:b/>
          <w:i w:val="0"/>
          <w:color w:val="000000"/>
          <w:sz w:val="24"/>
        </w:rPr>
        <w:t>Mash v2.3</w:t>
      </w:r>
      <w:r>
        <w:rPr>
          <w:rFonts w:ascii="Times New Roman" w:hAnsi="Times New Roman" w:eastAsia="Times New Roman" w:cs="Times New Roman"/>
          <w:b w:val="0"/>
          <w:i w:val="0"/>
          <w:color w:val="000000"/>
          <w:sz w:val="24"/>
        </w:rPr>
        <w:t xml:space="preserve"> [24]: contiguous k-mers (k=21), MinHash Jaccard, NJ</w:t>
      </w:r>
    </w:p>
    <w:p>
      <w:pPr>
        <w:pStyle w:val="ListBullet"/>
        <w:spacing w:after="60" w:line="360" w:lineRule="auto"/>
      </w:pPr>
      <w:r>
        <w:rPr>
          <w:rFonts w:ascii="Times New Roman" w:hAnsi="Times New Roman" w:eastAsia="Times New Roman" w:cs="Times New Roman"/>
          <w:b/>
          <w:i w:val="0"/>
          <w:color w:val="000000"/>
          <w:sz w:val="24"/>
        </w:rPr>
        <w:t>Mash + FastME</w:t>
      </w:r>
      <w:r>
        <w:rPr>
          <w:rFonts w:ascii="Times New Roman" w:hAnsi="Times New Roman" w:eastAsia="Times New Roman" w:cs="Times New Roman"/>
          <w:b w:val="0"/>
          <w:i w:val="0"/>
          <w:color w:val="000000"/>
          <w:sz w:val="24"/>
        </w:rPr>
        <w:t>: Mimics Fusang pipeline with contiguous k-mers (Mash distance + FastME), serving as a clean ablation control isolating spaced k-mers from pipeline architecture</w:t>
      </w:r>
    </w:p>
    <w:p>
      <w:pPr>
        <w:pStyle w:val="ListBullet"/>
        <w:spacing w:after="60" w:line="360" w:lineRule="auto"/>
      </w:pPr>
      <w:r>
        <w:rPr>
          <w:rFonts w:ascii="Times New Roman" w:hAnsi="Times New Roman" w:eastAsia="Times New Roman" w:cs="Times New Roman"/>
          <w:b/>
          <w:i w:val="0"/>
          <w:color w:val="000000"/>
          <w:sz w:val="24"/>
        </w:rPr>
        <w:t>andi-approx</w:t>
      </w:r>
      <w:r>
        <w:rPr>
          <w:rFonts w:ascii="Times New Roman" w:hAnsi="Times New Roman" w:eastAsia="Times New Roman" w:cs="Times New Roman"/>
          <w:b w:val="0"/>
          <w:i w:val="0"/>
          <w:color w:val="000000"/>
          <w:sz w:val="24"/>
        </w:rPr>
        <w:t xml:space="preserve"> (tested):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ListBullet"/>
        <w:spacing w:after="60" w:line="360" w:lineRule="auto"/>
      </w:pPr>
      <w:r>
        <w:rPr>
          <w:rFonts w:ascii="Times New Roman" w:hAnsi="Times New Roman" w:eastAsia="Times New Roman" w:cs="Times New Roman"/>
          <w:b/>
          <w:i w:val="0"/>
          <w:color w:val="000000"/>
          <w:sz w:val="24"/>
        </w:rPr>
        <w:t>Co-phylog</w:t>
      </w:r>
      <w:r>
        <w:rPr>
          <w:rFonts w:ascii="Times New Roman" w:hAnsi="Times New Roman" w:eastAsia="Times New Roman" w:cs="Times New Roman"/>
          <w:b w:val="0"/>
          <w:i w:val="0"/>
          <w:color w:val="000000"/>
          <w:sz w:val="24"/>
        </w:rPr>
        <w:t xml:space="preserve"> [26]: k-mer frequency + covariance matrix eigenvalues. Tested on both DNA and protein benchmarks (see Results).</w:t>
      </w:r>
    </w:p>
    <w:p>
      <w:pPr>
        <w:pStyle w:val="ListBullet"/>
        <w:spacing w:after="60" w:line="360" w:lineRule="auto"/>
      </w:pPr>
      <w:r>
        <w:rPr>
          <w:rFonts w:ascii="Times New Roman" w:hAnsi="Times New Roman" w:eastAsia="Times New Roman" w:cs="Times New Roman"/>
          <w:b/>
          <w:i w:val="0"/>
          <w:color w:val="000000"/>
          <w:sz w:val="24"/>
        </w:rPr>
        <w:t>kmacs</w:t>
      </w:r>
      <w:r>
        <w:rPr>
          <w:rFonts w:ascii="Times New Roman" w:hAnsi="Times New Roman" w:eastAsia="Times New Roman" w:cs="Times New Roman"/>
          <w:b w:val="0"/>
          <w:i w:val="0"/>
          <w:color w:val="000000"/>
          <w:sz w:val="24"/>
        </w:rPr>
        <w:t xml:space="preserve"> [12]: k-mismatch average common substring distance. Tested on the DNA indel benchmark (130 seeds) with a k-parameter scan (k∈{3,5,10}; best configuration k=3, see Results). Compiled from the original source distribution and executed on WSL2 Ubuntu-24.04.</w:t>
      </w:r>
    </w:p>
    <w:p>
      <w:pPr>
        <w:keepNext/>
        <w:spacing w:before="200" w:after="120" w:line="276" w:lineRule="auto"/>
      </w:pPr>
      <w:r>
        <w:rPr>
          <w:rFonts w:ascii="Times New Roman" w:hAnsi="Times New Roman" w:eastAsia="Times New Roman" w:cs="Times New Roman"/>
          <w:b/>
          <w:i w:val="0"/>
          <w:color w:val="000000"/>
          <w:sz w:val="24"/>
        </w:rPr>
        <w:t>Hardware</w:t>
      </w:r>
    </w:p>
    <w:p>
      <w:pPr>
        <w:spacing w:after="120" w:line="360" w:lineRule="auto"/>
      </w:pPr>
      <w:r>
        <w:rPr>
          <w:rFonts w:ascii="Times New Roman" w:hAnsi="Times New Roman" w:eastAsia="Times New Roman" w:cs="Times New Roman"/>
          <w:b w:val="0"/>
          <w:i w:val="0"/>
          <w:color w:val="000000"/>
          <w:sz w:val="24"/>
        </w:rPr>
        <w:t>All benchmarks: Intel Xeon E-2124 (4 cores/4 threads, 3.3 GHz), 32 GB RAM, Windows 10. Fusang runs natively; RAxML-NG/MAFFT executed under WSL2 (Ubuntu 24.04).</w:t>
      </w:r>
    </w:p>
    <w:p>
      <w:pPr>
        <w:keepNext/>
        <w:spacing w:before="200" w:after="120" w:line="276" w:lineRule="auto"/>
      </w:pPr>
      <w:r>
        <w:rPr>
          <w:rFonts w:ascii="Times New Roman" w:hAnsi="Times New Roman" w:eastAsia="Times New Roman" w:cs="Times New Roman"/>
          <w:b/>
          <w:i w:val="0"/>
          <w:color w:val="000000"/>
          <w:sz w:val="26"/>
        </w:rPr>
        <w:t>Real data validation: 16S rRNA type strains</w:t>
      </w:r>
    </w:p>
    <w:p>
      <w:pPr>
        <w:spacing w:after="120" w:line="360" w:lineRule="auto"/>
      </w:pPr>
      <w:r>
        <w:rPr>
          <w:rFonts w:ascii="Times New Roman" w:hAnsi="Times New Roman" w:eastAsia="Times New Roman" w:cs="Times New Roman"/>
          <w:b w:val="0"/>
          <w:i w:val="0"/>
          <w:color w:val="000000"/>
          <w:sz w:val="24"/>
        </w:rPr>
        <w:t>We downloaded 74 representative 16S rRNA sequences spanning 13 phyla (NCBI GenBank, Supplementary Table S1) and ran Fusang (k=5,gap2, simplified pipeline) without alignment. The true composition of the analysed set, established by re-annotating every downloaded accession against NCBI Taxonomy, is 73 sequences across 13 phyla (7 represented by ≥2 taxa), 21 classes (9 with ≥2 taxa) and 40 orders (14 with ≥2 taxa), including 5 archaeal sequences (4 Methanobacteriota, 1 Thermoproteota); one intended taxon (</w:t>
      </w:r>
      <w:r>
        <w:rPr>
          <w:rFonts w:ascii="Times New Roman" w:hAnsi="Times New Roman" w:eastAsia="Times New Roman" w:cs="Times New Roman"/>
          <w:b w:val="0"/>
          <w:i/>
          <w:color w:val="000000"/>
          <w:sz w:val="24"/>
        </w:rPr>
        <w:t>Sulfolobus solfataricus</w:t>
      </w:r>
      <w:r>
        <w:rPr>
          <w:rFonts w:ascii="Times New Roman" w:hAnsi="Times New Roman" w:eastAsia="Times New Roman" w:cs="Times New Roman"/>
          <w:b w:val="0"/>
          <w:i w:val="0"/>
          <w:color w:val="000000"/>
          <w:sz w:val="24"/>
        </w:rPr>
        <w:t>) failed to download, giving 73 analysed sequences of which 71 carry usable taxonomy. Since no gold-standard reference tree exists, we evaluated topological quality by comparing tree-based pairwise distances against NCBI taxonomic classifications using permutation tests, and by testing monophyly recovery of taxonomic groups. We note that the accession→organism mapping originally shipped with this dataset was erroneous at the genus/species level for all 73 accessions; all analyses reported here therefore use the corrected NCBI Taxonomy annotation, and the incident is disclosed with the remediation steps in Supplementary Note S17.</w:t>
      </w:r>
    </w:p>
    <w:p>
      <w:pPr>
        <w:keepNext/>
        <w:spacing w:before="200" w:after="120" w:line="276" w:lineRule="auto"/>
      </w:pPr>
      <w:r>
        <w:rPr>
          <w:rFonts w:ascii="Times New Roman" w:hAnsi="Times New Roman" w:eastAsia="Times New Roman" w:cs="Times New Roman"/>
          <w:b/>
          <w:i w:val="0"/>
          <w:color w:val="000000"/>
          <w:sz w:val="26"/>
        </w:rPr>
        <w:t>Real genome-scale validation: AFproject community datasets</w:t>
      </w:r>
    </w:p>
    <w:p>
      <w:pPr>
        <w:spacing w:after="120" w:line="360" w:lineRule="auto"/>
      </w:pPr>
      <w:r>
        <w:rPr>
          <w:rFonts w:ascii="Times New Roman" w:hAnsi="Times New Roman" w:eastAsia="Times New Roman" w:cs="Times New Roman"/>
          <w:b w:val="0"/>
          <w:i w:val="0"/>
          <w:color w:val="000000"/>
          <w:sz w:val="24"/>
        </w:rPr>
        <w:t xml:space="preserve">To test the indel-robustness claims on real data beyond simulations, we benchmarked on two real whole-genome datasets from the AFproject community benchmark [14], each with a published trusted reference tree: (1) Fish mtDNA — 25 fish mitochondrial genomes (~17 kb each, spanning multiple orders; reference tree from Fischer et al. 2013); (2) E. coli/Shigella — 27 genomes (~4.5–5.5 Mb; reference tree from Skippington &amp; Ragan 2011). Sequences were downloaded from NCBI (accessions in Supplementary Table S16). For the fish dataset we additionally computed the MAFFT alignment (n=25, 18,284 columns) to quantify indel content: 9.1% of alignment cells are gaps. For the SwissTree protein benchmark we quantified gap content analogously: median 50% (range 11–81%) across the 11 families, confirming that this benchmark is strongly indel-rich. All methods built trees via Neighbor-Joining (BioPython) on unaligned input, scored with ETE3 Tree.compare (unrooted nRF, the AFproject scoring standard); kmacs and Mash were run at both our working configurations and the exact configurations published in the AFproject benchmark, providing an external cross-validation of the benchmark harness (data, NJ, and ETE3 scoring) rather than of Fusang itself. Whole-genome MSA was not computed for the 27-genome E. coli/Shigella dataset (alignment of 27 × 4.6 Mb is impractical — precisely the regime where alignment-free methods are necessary); for the fish dataset, MAFFT+FastTree2 served as the MSA+ML comparator. The ETE3 unrooted nRF used here (informative splits only, max_rf = 2(n−3)) is numerically equivalent to the standard root-independent measure now used throughout Tables 1–11 and validated against DendroPy (see Accuracy metric above). We therefore no longer treat the real-genome figures as belonging to a separate scale; an earlier note flagging them as non-comparable applied to the superseded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xml:space="preserve"> implementation and has been removed. The 16S rRNA benchmark (Table 9) already used an equivalent canonical split-set implementation and its values are unchanged. The SwissTree (Table 10) and BAliBASE (Supplementary Table S7) benchmarks did not: both were rescored with the standard metric from re-generated trees (verified to reproduce the original values bit-for-bit under the old implementation, so the changes are attributable to the metric alone and not to pipeline drift), and the resulting changes to their conclusions are stated in Results and Discussion.</w:t>
      </w:r>
    </w:p>
    <w:p>
      <w:pPr>
        <w:keepNext/>
        <w:spacing w:before="200" w:after="120" w:line="276" w:lineRule="auto"/>
      </w:pPr>
      <w:r>
        <w:rPr>
          <w:rFonts w:ascii="Times New Roman" w:hAnsi="Times New Roman" w:eastAsia="Times New Roman" w:cs="Times New Roman"/>
          <w:b/>
          <w:i w:val="0"/>
          <w:color w:val="000000"/>
          <w:sz w:val="26"/>
        </w:rPr>
        <w:t>Cross-platform compatibility and deployment</w:t>
      </w:r>
    </w:p>
    <w:p>
      <w:pPr>
        <w:spacing w:after="120" w:line="360" w:lineRule="auto"/>
      </w:pPr>
      <w:r>
        <w:rPr>
          <w:rFonts w:ascii="Times New Roman" w:hAnsi="Times New Roman" w:eastAsia="Times New Roman" w:cs="Times New Roman"/>
          <w:b w:val="0"/>
          <w:i w:val="0"/>
          <w:color w:val="000000"/>
          <w:sz w:val="24"/>
        </w:rPr>
        <w:t>Fusang is implemented in Python 3.10+ with a modular architecture that supports both command-line and script-based workflows. Pre-compiled FastME binaries are provided for Windows (x86-64) and Linux (x86-64), ensuring consistent numerical results across platforms. The simplified pipeline (default for n ≤ 500) runs synchronously; larger datasets use the DCM strategy with configurable parallelism (default: 4 workers). A containerized Docker image (python:3.10-slim base) is provided for reproducible deployment.</w:t>
      </w:r>
    </w:p>
    <w:p>
      <w:pPr>
        <w:keepNext/>
        <w:spacing w:before="240" w:after="120" w:line="276" w:lineRule="auto"/>
      </w:pPr>
      <w:r>
        <w:rPr>
          <w:rFonts w:ascii="Times New Roman" w:hAnsi="Times New Roman" w:eastAsia="Times New Roman" w:cs="Times New Roman"/>
          <w:b/>
          <w:i w:val="0"/>
          <w:color w:val="000000"/>
          <w:sz w:val="28"/>
        </w:rPr>
        <w:t>RESULTS</w:t>
      </w:r>
    </w:p>
    <w:p>
      <w:pPr>
        <w:keepNext/>
        <w:spacing w:before="200" w:after="120" w:line="276" w:lineRule="auto"/>
      </w:pPr>
      <w:r>
        <w:rPr>
          <w:rFonts w:ascii="Times New Roman" w:hAnsi="Times New Roman" w:eastAsia="Times New Roman" w:cs="Times New Roman"/>
          <w:b/>
          <w:i w:val="0"/>
          <w:color w:val="000000"/>
          <w:sz w:val="26"/>
        </w:rPr>
        <w:t>A simplified pipeline achieves state-of-the-art accuracy</w:t>
      </w:r>
    </w:p>
    <w:p>
      <w:pPr>
        <w:spacing w:after="120" w:line="360" w:lineRule="auto"/>
      </w:pPr>
      <w:r>
        <w:rPr>
          <w:rFonts w:ascii="Times New Roman" w:hAnsi="Times New Roman" w:eastAsia="Times New Roman" w:cs="Times New Roman"/>
          <w:b w:val="0"/>
          <w:i w:val="0"/>
          <w:color w:val="000000"/>
          <w:sz w:val="24"/>
        </w:rPr>
        <w:t xml:space="preserve">Systematic ablation of the Fusang pipeline revealed a critical finding: the divide-and-conquer (DCM) strategy, while essential for scalability, requires careful tuning to avoid accuracy loss at small-to-medium scales. On n=200 indel simulated data (indel rate=0.02, seed=42), step-wise tracing from the simplified pipeline to the full DCM+EPA pipeline isolates the error source (Figure 3, Supplementary Figure S3, Supplementary Table S3; raw trace </w:t>
      </w:r>
      <w:r>
        <w:rPr>
          <w:rFonts w:ascii="Consolas" w:hAnsi="Consolas" w:eastAsia="Consolas" w:cs="Consolas"/>
          <w:b w:val="0"/>
          <w:i w:val="0"/>
          <w:color w:val="000000"/>
          <w:sz w:val="24"/>
        </w:rPr>
        <w:t>repro_ablations/ablation_dcm_seed42_indel_nrfstandard.json</w:t>
      </w:r>
      <w:r>
        <w:rPr>
          <w:rFonts w:ascii="Times New Roman" w:hAnsi="Times New Roman" w:eastAsia="Times New Roman" w:cs="Times New Roman"/>
          <w:b w:val="0"/>
          <w:i w:val="0"/>
          <w:color w:val="000000"/>
          <w:sz w:val="24"/>
        </w:rPr>
        <w:t>, scored with the standard root-independent unrooted RF):</w:t>
      </w:r>
    </w:p>
    <w:p>
      <w:pPr>
        <w:pStyle w:val="ListBullet"/>
        <w:spacing w:after="60" w:line="360" w:lineRule="auto"/>
      </w:pPr>
      <w:r>
        <w:rPr>
          <w:rFonts w:ascii="Times New Roman" w:hAnsi="Times New Roman" w:eastAsia="Times New Roman" w:cs="Times New Roman"/>
          <w:b w:val="0"/>
          <w:i w:val="0"/>
          <w:color w:val="000000"/>
          <w:sz w:val="24"/>
        </w:rPr>
        <w:t xml:space="preserve">Simplified pipeline (k-mer→cosine→NJ): </w:t>
      </w:r>
      <w:r>
        <w:rPr>
          <w:rFonts w:ascii="Times New Roman" w:hAnsi="Times New Roman" w:eastAsia="Times New Roman" w:cs="Times New Roman"/>
          <w:b/>
          <w:i w:val="0"/>
          <w:color w:val="000000"/>
          <w:sz w:val="24"/>
        </w:rPr>
        <w:t>nRF=0.081</w:t>
      </w:r>
    </w:p>
    <w:p>
      <w:pPr>
        <w:pStyle w:val="ListBullet"/>
        <w:spacing w:after="60" w:line="360" w:lineRule="auto"/>
      </w:pPr>
      <w:r>
        <w:rPr>
          <w:rFonts w:ascii="Times New Roman" w:hAnsi="Times New Roman" w:eastAsia="Times New Roman" w:cs="Times New Roman"/>
          <w:b w:val="0"/>
          <w:i w:val="0"/>
          <w:color w:val="000000"/>
          <w:sz w:val="24"/>
        </w:rPr>
        <w:t>Swap in the FastME tree builder: nRF=0.081</w:t>
      </w:r>
    </w:p>
    <w:p>
      <w:pPr>
        <w:pStyle w:val="ListBullet"/>
        <w:spacing w:after="60" w:line="360" w:lineRule="auto"/>
      </w:pPr>
      <w:r>
        <w:rPr>
          <w:rFonts w:ascii="Times New Roman" w:hAnsi="Times New Roman" w:eastAsia="Times New Roman" w:cs="Times New Roman"/>
          <w:b w:val="0"/>
          <w:i w:val="0"/>
          <w:color w:val="000000"/>
          <w:sz w:val="24"/>
        </w:rPr>
        <w:t xml:space="preserve">Swap in the </w:t>
      </w:r>
      <w:r>
        <w:rPr>
          <w:rFonts w:ascii="Consolas" w:hAnsi="Consolas" w:eastAsia="Consolas" w:cs="Consolas"/>
          <w:b w:val="0"/>
          <w:i w:val="0"/>
          <w:color w:val="000000"/>
          <w:sz w:val="24"/>
        </w:rPr>
        <w:t>distances.py</w:t>
      </w:r>
      <w:r>
        <w:rPr>
          <w:rFonts w:ascii="Times New Roman" w:hAnsi="Times New Roman" w:eastAsia="Times New Roman" w:cs="Times New Roman"/>
          <w:b w:val="0"/>
          <w:i w:val="0"/>
          <w:color w:val="000000"/>
          <w:sz w:val="24"/>
        </w:rPr>
        <w:t xml:space="preserve"> distance-matrix implementation: nRF=0.081</w:t>
      </w:r>
    </w:p>
    <w:p>
      <w:pPr>
        <w:pStyle w:val="ListBullet"/>
        <w:spacing w:after="60" w:line="360" w:lineRule="auto"/>
      </w:pPr>
      <w:r>
        <w:rPr>
          <w:rFonts w:ascii="Times New Roman" w:hAnsi="Times New Roman" w:eastAsia="Times New Roman" w:cs="Times New Roman"/>
          <w:b w:val="0"/>
          <w:i w:val="0"/>
          <w:color w:val="000000"/>
          <w:sz w:val="24"/>
        </w:rPr>
        <w:t>Add TF-IDF weighting: nRF=0.137</w:t>
      </w:r>
    </w:p>
    <w:p>
      <w:pPr>
        <w:pStyle w:val="ListBullet"/>
        <w:spacing w:after="60" w:line="360" w:lineRule="auto"/>
      </w:pPr>
      <w:r>
        <w:rPr>
          <w:rFonts w:ascii="Times New Roman" w:hAnsi="Times New Roman" w:eastAsia="Times New Roman" w:cs="Times New Roman"/>
          <w:b w:val="0"/>
          <w:i w:val="0"/>
          <w:color w:val="000000"/>
          <w:sz w:val="24"/>
        </w:rPr>
        <w:t>Full DCM with EPA grafting (max_group_size=10): nRF=0.523</w:t>
      </w:r>
    </w:p>
    <w:p>
      <w:pPr>
        <w:spacing w:after="120" w:line="360" w:lineRule="auto"/>
      </w:pPr>
      <w:r>
        <w:rPr>
          <w:rFonts w:ascii="Times New Roman" w:hAnsi="Times New Roman" w:eastAsia="Times New Roman" w:cs="Times New Roman"/>
          <w:b w:val="0"/>
          <w:i w:val="0"/>
          <w:color w:val="000000"/>
          <w:sz w:val="24"/>
        </w:rPr>
        <w:t xml:space="preserve">For calibration, FastTree2 on the MAFFT alignment of the same data achieves nRF=0.096, and across eleven DCM configurations on this seed (max_group_size=10–150, NJ subtrees) the full-DCM nRF ranged 0.096–0.523 (mean 0.233 ± 0.126). </w:t>
      </w:r>
      <w:r>
        <w:rPr>
          <w:rFonts w:ascii="Times New Roman" w:hAnsi="Times New Roman" w:eastAsia="Times New Roman" w:cs="Times New Roman"/>
          <w:b/>
          <w:i w:val="0"/>
          <w:color w:val="000000"/>
          <w:sz w:val="24"/>
        </w:rPr>
        <w:t>Provenance</w:t>
      </w:r>
      <w:r>
        <w:rPr>
          <w:rFonts w:ascii="Times New Roman" w:hAnsi="Times New Roman" w:eastAsia="Times New Roman" w:cs="Times New Roman"/>
          <w:b w:val="0"/>
          <w:i w:val="0"/>
          <w:color w:val="000000"/>
          <w:sz w:val="24"/>
        </w:rPr>
        <w:t xml:space="preserve">: the earlier trace for this chain was stored in </w:t>
      </w:r>
      <w:r>
        <w:rPr>
          <w:rFonts w:ascii="Consolas" w:hAnsi="Consolas" w:eastAsia="Consolas" w:cs="Consolas"/>
          <w:b w:val="0"/>
          <w:i w:val="0"/>
          <w:color w:val="000000"/>
          <w:sz w:val="24"/>
        </w:rPr>
        <w:t>diag_dcm_loss_n200_s42.json</w:t>
      </w:r>
      <w:r>
        <w:rPr>
          <w:rFonts w:ascii="Times New Roman" w:hAnsi="Times New Roman" w:eastAsia="Times New Roman" w:cs="Times New Roman"/>
          <w:b w:val="0"/>
          <w:i w:val="0"/>
          <w:color w:val="000000"/>
          <w:sz w:val="24"/>
        </w:rPr>
        <w:t xml:space="preserve">, which — despite the text above naming indel rate=0.02 — was computed on clean </w:t>
      </w:r>
      <w:r>
        <w:rPr>
          <w:rFonts w:ascii="Consolas" w:hAnsi="Consolas" w:eastAsia="Consolas" w:cs="Consolas"/>
          <w:b w:val="0"/>
          <w:i w:val="0"/>
          <w:color w:val="000000"/>
          <w:sz w:val="24"/>
        </w:rPr>
        <w:t>test_n200.fasta</w:t>
      </w:r>
      <w:r>
        <w:rPr>
          <w:rFonts w:ascii="Times New Roman" w:hAnsi="Times New Roman" w:eastAsia="Times New Roman" w:cs="Times New Roman"/>
          <w:b w:val="0"/>
          <w:i w:val="0"/>
          <w:color w:val="000000"/>
          <w:sz w:val="24"/>
        </w:rPr>
        <w:t xml:space="preserve">, and whose stored stage values do not match any number previously printed in this manuscript; the chain reported here was therefore recomputed with the standard root-independent unrooted RF on the dataset the text names (n=200, indel rate=0.02, seed 42; </w:t>
      </w:r>
      <w:r>
        <w:rPr>
          <w:rFonts w:ascii="Consolas" w:hAnsi="Consolas" w:eastAsia="Consolas" w:cs="Consolas"/>
          <w:b w:val="0"/>
          <w:i w:val="0"/>
          <w:color w:val="000000"/>
          <w:sz w:val="24"/>
        </w:rPr>
        <w:t>repro_ablations/ablation_dcm_seed42_indel_nrfstandard.py</w:t>
      </w:r>
      <w:r>
        <w:rPr>
          <w:rFonts w:ascii="Times New Roman" w:hAnsi="Times New Roman" w:eastAsia="Times New Roman" w:cs="Times New Roman"/>
          <w:b w:val="0"/>
          <w:i w:val="0"/>
          <w:color w:val="000000"/>
          <w:sz w:val="24"/>
        </w:rPr>
        <w:t xml:space="preserve">). Earlier text specified only "full DCM with EPA grafting" without a </w:t>
      </w:r>
      <w:r>
        <w:rPr>
          <w:rFonts w:ascii="Consolas" w:hAnsi="Consolas" w:eastAsia="Consolas" w:cs="Consolas"/>
          <w:b w:val="0"/>
          <w:i w:val="0"/>
          <w:color w:val="000000"/>
          <w:sz w:val="24"/>
        </w:rPr>
        <w:t>max_group_size</w:t>
      </w:r>
      <w:r>
        <w:rPr>
          <w:rFonts w:ascii="Times New Roman" w:hAnsi="Times New Roman" w:eastAsia="Times New Roman" w:cs="Times New Roman"/>
          <w:b w:val="0"/>
          <w:i w:val="0"/>
          <w:color w:val="000000"/>
          <w:sz w:val="24"/>
        </w:rPr>
        <w:t xml:space="preserve">; we now report the </w:t>
      </w:r>
      <w:r>
        <w:rPr>
          <w:rFonts w:ascii="Consolas" w:hAnsi="Consolas" w:eastAsia="Consolas" w:cs="Consolas"/>
          <w:b w:val="0"/>
          <w:i w:val="0"/>
          <w:color w:val="000000"/>
          <w:sz w:val="24"/>
        </w:rPr>
        <w:t>max_group_size=10</w:t>
      </w:r>
      <w:r>
        <w:rPr>
          <w:rFonts w:ascii="Times New Roman" w:hAnsi="Times New Roman" w:eastAsia="Times New Roman" w:cs="Times New Roman"/>
          <w:b w:val="0"/>
          <w:i w:val="0"/>
          <w:color w:val="000000"/>
          <w:sz w:val="24"/>
        </w:rPr>
        <w:t xml:space="preserve"> setting, whose value under the old scorer (0.2487 on clean data) is the closest to the previously printed 0.251. This choice does not drive the conclusion: all eleven settings (10–150) exceed the simplified pipeline's 0.081, giving 0.096–0.523 (mean 0.233 ± 0.126). The first four steps confirm that the clustering and tree-building logic is sound; the large error appears only at the final step, isolating EPA (Evolutionary Placement Algorithm [16]) grafting as the primary error source. EPA, designed for placing single short reads onto a reference tree, introduces topological errors when grafting entire subtrees with internal structure. An earlier informal trace on a different dataset instance (seed=100) reported a larger step-5 error (nRF=0.388); we could not reproduce that value on the canonical seed-42 benchmark and therefore report the reproducible value here. Multi-seed validation confirms the directional advantage at smaller magnitude (see Section "130-seed benchmark confirms directional advantage").</w:t>
      </w:r>
    </w:p>
    <w:p>
      <w:pPr>
        <w:spacing w:after="120" w:line="360" w:lineRule="auto"/>
      </w:pPr>
      <w:r>
        <w:rPr>
          <w:rFonts w:ascii="Times New Roman" w:hAnsi="Times New Roman" w:eastAsia="Times New Roman" w:cs="Times New Roman"/>
          <w:b w:val="0"/>
          <w:i w:val="0"/>
          <w:color w:val="000000"/>
          <w:sz w:val="24"/>
        </w:rPr>
        <w:t xml:space="preserve">Based on this finding, we implemented an adaptive pipeline: for n≤500, Fusang uses the simplified pipeline (k-mer→cosine→NJ plus BME-scored NNI refinement for n≥100); for n &gt; 500 Fusang switches to DCM+EPA, which provides essential scalability and parallelism. It does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provide an accuracy advantage: the comparison on which an earlier claim rested (n=1,000: DCM nRF=0.083 ± 0.005, 9 seeds 401–409, vs simplified nRF=0.102 on seed 401) was obtained under the superseded nRF implementation and the corresponding true trees are unavailable, so it cannot be rescored; under the standard root-independent unrooted RF the ordering reverses (see "Accuracy basis for the pipeline threshold" in Materials and Methods). DCM+EPA is retained for n &gt; 500 on runtime grounds, not accuracy grounds. The </w:t>
      </w:r>
      <w:r>
        <w:rPr>
          <w:rFonts w:ascii="Consolas" w:hAnsi="Consolas" w:eastAsia="Consolas" w:cs="Consolas"/>
          <w:b w:val="0"/>
          <w:i w:val="0"/>
          <w:color w:val="000000"/>
          <w:sz w:val="24"/>
        </w:rPr>
        <w:t>SIMPLE_THRESHOLD=500</w:t>
      </w:r>
      <w:r>
        <w:rPr>
          <w:rFonts w:ascii="Times New Roman" w:hAnsi="Times New Roman" w:eastAsia="Times New Roman" w:cs="Times New Roman"/>
          <w:b w:val="0"/>
          <w:i w:val="0"/>
          <w:color w:val="000000"/>
          <w:sz w:val="24"/>
        </w:rPr>
        <w:t xml:space="preserve"> parameter controls this transition.</w:t>
      </w:r>
    </w:p>
    <w:p>
      <w:pPr>
        <w:spacing w:after="120" w:line="360" w:lineRule="auto"/>
      </w:pPr>
      <w:r>
        <w:rPr>
          <w:rFonts w:ascii="Times New Roman" w:hAnsi="Times New Roman" w:eastAsia="Times New Roman" w:cs="Times New Roman"/>
          <w:b/>
          <w:i w:val="0"/>
          <w:color w:val="000000"/>
          <w:sz w:val="24"/>
        </w:rPr>
        <w:t>Note on simplified pipeline accuracy</w:t>
      </w:r>
      <w:r>
        <w:rPr>
          <w:rFonts w:ascii="Times New Roman" w:hAnsi="Times New Roman" w:eastAsia="Times New Roman" w:cs="Times New Roman"/>
          <w:b w:val="0"/>
          <w:i w:val="0"/>
          <w:color w:val="000000"/>
          <w:sz w:val="24"/>
        </w:rPr>
        <w:t>: On clean data the simplified pipeline does not match MSA-based methods — FastTree2 is significantly better. On 130 INDELible seeds at n=200 clean (Table 1), Fusang attains nRF=0.234 ± 0.035 vs FastTree2 0.210 ± 0.034 (paired Wilcoxon p=2.07×10⁻¹⁴; FastTree2 significantly better, and significant after Bonferroni correction across the six ground-truth datasets; Fusang better in 26/130 seeds, FastTree2 in 103, 1 tie). Earlier versions of this manuscript reported 0.144 ± 0.025 vs 0.146 ± 0.025 (p=0.242, not significant, Fusang better in 68/130 seeds) and described the pipeline as "competitive with, but not systematically exceeding" MSA-based methods on clean data; those figures came from the superseded root-dependent nRF implementation and that characterisation is withdrawn. The value of the simplified pipeline lies in eliminating alignment and in scalability; the key accuracy advantage of Fusang emerges under indel-rich conditions (see below).</w:t>
      </w:r>
    </w:p>
    <w:p>
      <w:pPr>
        <w:keepNext/>
        <w:spacing w:before="200" w:after="120" w:line="276" w:lineRule="auto"/>
      </w:pPr>
      <w:r>
        <w:rPr>
          <w:rFonts w:ascii="Times New Roman" w:hAnsi="Times New Roman" w:eastAsia="Times New Roman" w:cs="Times New Roman"/>
          <w:b/>
          <w:i w:val="0"/>
          <w:color w:val="000000"/>
          <w:sz w:val="26"/>
        </w:rPr>
        <w:t>Spaced k-mers close the accuracy gap on clean data</w:t>
      </w:r>
    </w:p>
    <w:p>
      <w:pPr>
        <w:spacing w:after="120" w:line="360" w:lineRule="auto"/>
      </w:pPr>
      <w:r>
        <w:rPr>
          <w:rFonts w:ascii="Times New Roman" w:hAnsi="Times New Roman" w:eastAsia="Times New Roman" w:cs="Times New Roman"/>
          <w:b w:val="0"/>
          <w:i w:val="0"/>
          <w:color w:val="000000"/>
          <w:sz w:val="24"/>
        </w:rPr>
        <w:t xml:space="preserve">On clean substitution-only data, Fusang's accuracy varies by dataset size (Table 1). On n=200 indel-rich data (indel rate=0.02), Fusang is numerically more accurate than FastTree2, but the difference is small and not statistically significant at α=0.05 (nRF: Fusang 0.199 ± 0.030 vs FastTree2 0.205 ± 0.030, 130 seeds, paired Wilcoxon p=0.0507, paired d=−0.20, Fusang better in 71/130 seeds, FastTree2 better in 53, 6 ties); it does not survive Bonferroni correction across the six ground-truth datasets. </w:t>
      </w:r>
      <w:r>
        <w:rPr>
          <w:rFonts w:ascii="Times New Roman" w:hAnsi="Times New Roman" w:eastAsia="Times New Roman" w:cs="Times New Roman"/>
          <w:b/>
          <w:i w:val="0"/>
          <w:color w:val="000000"/>
          <w:sz w:val="24"/>
        </w:rPr>
        <w:t>Reporting convention for this comparison.</w:t>
      </w:r>
      <w:r>
        <w:rPr>
          <w:rFonts w:ascii="Times New Roman" w:hAnsi="Times New Roman" w:eastAsia="Times New Roman" w:cs="Times New Roman"/>
          <w:b w:val="0"/>
          <w:i w:val="0"/>
          <w:color w:val="000000"/>
          <w:sz w:val="24"/>
        </w:rPr>
        <w:t xml:space="preserve"> The test is run on integer RF counts rather than on normalised nRF values (130 seeds, 6 ties). Under the classical "discard zero-differences" convention the p-value is 0.0497; under the zero-split convention (</w:t>
      </w:r>
      <w:r>
        <w:rPr>
          <w:rFonts w:ascii="Consolas" w:hAnsi="Consolas" w:eastAsia="Consolas" w:cs="Consolas"/>
          <w:b w:val="0"/>
          <w:i w:val="0"/>
          <w:color w:val="000000"/>
          <w:sz w:val="24"/>
        </w:rPr>
        <w:t>zero_method='zsplit'</w:t>
      </w:r>
      <w:r>
        <w:rPr>
          <w:rFonts w:ascii="Times New Roman" w:hAnsi="Times New Roman" w:eastAsia="Times New Roman" w:cs="Times New Roman"/>
          <w:b w:val="0"/>
          <w:i w:val="0"/>
          <w:color w:val="000000"/>
          <w:sz w:val="24"/>
        </w:rPr>
        <w:t>), which is applied uniformly to every Wilcoxon signed-rank test in this manuscript, it is p=0.0507. The comparison therefore straddles the α=0.05 threshold, and we report it as borderline — a numerical advantage that is not statistically significant at α=0.05 — rather than as an established one; a fortiori it is not significant after Bonferroni correction across the six ground-truth datasets (α≈0.008). At n=1000 indel the direction reverses, with FastTree2 significantly better (0.226 ± 0.015 vs 0.212 ± 0.014, p=1.54×10⁻⁴). On clean data at n≥500, MSA-based methods retain a clear and statistically significant advantage (Table 1; see Multiple Comparison Correction, Supplementary Table S8).</w:t>
      </w:r>
    </w:p>
    <w:p>
      <w:pPr>
        <w:spacing w:after="120" w:line="360" w:lineRule="auto"/>
      </w:pPr>
      <w:r>
        <w:rPr>
          <w:rFonts w:ascii="Times New Roman" w:hAnsi="Times New Roman" w:eastAsia="Times New Roman" w:cs="Times New Roman"/>
          <w:b/>
          <w:i w:val="0"/>
          <w:color w:val="000000"/>
          <w:sz w:val="24"/>
        </w:rPr>
        <w:t>Table 1. Accuracy on clean and indel-rich data (L=500 bp, INDELible birth–death trees; 130 seeds for n=200, 30 seeds for n=500/1000). All nRF values are TRUE-relative (vs simulated ground-truth tree) except where noted.</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Data Type</w:t>
            </w:r>
          </w:p>
        </w:tc>
        <w:tc>
          <w:tcPr>
            <w:tcW w:type="dxa" w:w="1805"/>
          </w:tcPr>
          <w:p>
            <w:pPr>
              <w:spacing w:after="0" w:before="0" w:line="240" w:lineRule="auto"/>
            </w:pPr>
            <w:r>
              <w:rPr>
                <w:rFonts w:ascii="Times New Roman" w:hAnsi="Times New Roman" w:eastAsia="Times New Roman" w:cs="Times New Roman"/>
                <w:b/>
                <w:i w:val="0"/>
                <w:color w:val="000000"/>
                <w:sz w:val="18"/>
              </w:rPr>
              <w:t>Fusang nRF ↓</w:t>
            </w:r>
          </w:p>
        </w:tc>
        <w:tc>
          <w:tcPr>
            <w:tcW w:type="dxa" w:w="1805"/>
          </w:tcPr>
          <w:p>
            <w:pPr>
              <w:spacing w:after="0" w:before="0" w:line="240" w:lineRule="auto"/>
            </w:pPr>
            <w:r>
              <w:rPr>
                <w:rFonts w:ascii="Times New Roman" w:hAnsi="Times New Roman" w:eastAsia="Times New Roman" w:cs="Times New Roman"/>
                <w:b/>
                <w:i w:val="0"/>
                <w:color w:val="000000"/>
                <w:sz w:val="18"/>
              </w:rPr>
              <w:t>FastTree2 nRF ↓</w:t>
            </w:r>
          </w:p>
        </w:tc>
        <w:tc>
          <w:tcPr>
            <w:tcW w:type="dxa" w:w="1805"/>
          </w:tcPr>
          <w:p>
            <w:pPr>
              <w:spacing w:after="0" w:before="0" w:line="240" w:lineRule="auto"/>
            </w:pPr>
            <w:r>
              <w:rPr>
                <w:rFonts w:ascii="Times New Roman" w:hAnsi="Times New Roman" w:eastAsia="Times New Roman" w:cs="Times New Roman"/>
                <w:b/>
                <w:i w:val="0"/>
                <w:color w:val="000000"/>
                <w:sz w:val="18"/>
              </w:rPr>
              <w:t>Winner</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0.234 ± 0.035 (k=5,gap2)</w:t>
            </w:r>
          </w:p>
        </w:tc>
        <w:tc>
          <w:tcPr>
            <w:tcW w:type="dxa" w:w="1805"/>
          </w:tcPr>
          <w:p>
            <w:pPr>
              <w:spacing w:after="0" w:before="0" w:line="240" w:lineRule="auto"/>
            </w:pPr>
            <w:r>
              <w:rPr>
                <w:rFonts w:ascii="Times New Roman" w:hAnsi="Times New Roman" w:eastAsia="Times New Roman" w:cs="Times New Roman"/>
                <w:b/>
                <w:i w:val="0"/>
                <w:color w:val="000000"/>
                <w:sz w:val="18"/>
              </w:rPr>
              <w:t>0.210 ± 0.034</w:t>
            </w:r>
          </w:p>
        </w:tc>
        <w:tc>
          <w:tcPr>
            <w:tcW w:type="dxa" w:w="1805"/>
          </w:tcPr>
          <w:p>
            <w:pPr>
              <w:spacing w:after="0" w:before="0" w:line="240" w:lineRule="auto"/>
            </w:pPr>
            <w:r>
              <w:rPr>
                <w:rFonts w:ascii="Times New Roman" w:hAnsi="Times New Roman" w:eastAsia="Times New Roman" w:cs="Times New Roman"/>
                <w:b w:val="0"/>
                <w:i w:val="0"/>
                <w:color w:val="000000"/>
                <w:sz w:val="18"/>
              </w:rPr>
              <w:t>FT2 (p=2.07×10⁻¹⁴)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i w:val="0"/>
                <w:color w:val="000000"/>
                <w:sz w:val="18"/>
              </w:rPr>
              <w:t>0.199 ± 0.030</w:t>
            </w:r>
            <w:r>
              <w:rPr>
                <w:rFonts w:ascii="Times New Roman" w:hAnsi="Times New Roman" w:eastAsia="Times New Roman" w:cs="Times New Roman"/>
                <w:b w:val="0"/>
                <w:i w:val="0"/>
                <w:color w:val="000000"/>
                <w:sz w:val="18"/>
              </w:rPr>
              <w:t xml:space="preserve"> (k=5,gap2)</w:t>
            </w:r>
          </w:p>
        </w:tc>
        <w:tc>
          <w:tcPr>
            <w:tcW w:type="dxa" w:w="1805"/>
          </w:tcPr>
          <w:p>
            <w:pPr>
              <w:spacing w:after="0" w:before="0" w:line="240" w:lineRule="auto"/>
            </w:pPr>
            <w:r>
              <w:rPr>
                <w:rFonts w:ascii="Times New Roman" w:hAnsi="Times New Roman" w:eastAsia="Times New Roman" w:cs="Times New Roman"/>
                <w:b w:val="0"/>
                <w:i w:val="0"/>
                <w:color w:val="000000"/>
                <w:sz w:val="18"/>
              </w:rPr>
              <w:t>0.205 ± 0.030</w:t>
            </w:r>
          </w:p>
        </w:tc>
        <w:tc>
          <w:tcPr>
            <w:tcW w:type="dxa" w:w="1805"/>
          </w:tcPr>
          <w:p>
            <w:pPr>
              <w:spacing w:after="0" w:before="0" w:line="240" w:lineRule="auto"/>
            </w:pPr>
            <w:r>
              <w:rPr>
                <w:rFonts w:ascii="Times New Roman" w:hAnsi="Times New Roman" w:eastAsia="Times New Roman" w:cs="Times New Roman"/>
                <w:b w:val="0"/>
                <w:i w:val="0"/>
                <w:color w:val="000000"/>
                <w:sz w:val="18"/>
              </w:rPr>
              <w:t>Fusang (p=0.0507, borderline; n.s. at α=0.05)</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0.244 ± 0.019 (k=5,gap2)</w:t>
            </w:r>
          </w:p>
        </w:tc>
        <w:tc>
          <w:tcPr>
            <w:tcW w:type="dxa" w:w="1805"/>
          </w:tcPr>
          <w:p>
            <w:pPr>
              <w:spacing w:after="0" w:before="0" w:line="240" w:lineRule="auto"/>
            </w:pPr>
            <w:r>
              <w:rPr>
                <w:rFonts w:ascii="Times New Roman" w:hAnsi="Times New Roman" w:eastAsia="Times New Roman" w:cs="Times New Roman"/>
                <w:b/>
                <w:i w:val="0"/>
                <w:color w:val="000000"/>
                <w:sz w:val="18"/>
              </w:rPr>
              <w:t>0.213 ± 0.017</w:t>
            </w:r>
          </w:p>
        </w:tc>
        <w:tc>
          <w:tcPr>
            <w:tcW w:type="dxa" w:w="1805"/>
          </w:tcPr>
          <w:p>
            <w:pPr>
              <w:spacing w:after="0" w:before="0" w:line="240" w:lineRule="auto"/>
            </w:pPr>
            <w:r>
              <w:rPr>
                <w:rFonts w:ascii="Times New Roman" w:hAnsi="Times New Roman" w:eastAsia="Times New Roman" w:cs="Times New Roman"/>
                <w:b w:val="0"/>
                <w:i w:val="0"/>
                <w:color w:val="000000"/>
                <w:sz w:val="18"/>
              </w:rPr>
              <w:t>FT2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val="0"/>
                <w:i w:val="0"/>
                <w:color w:val="000000"/>
                <w:sz w:val="18"/>
              </w:rPr>
              <w:t>0.208 ± 0.019 (k=5,gap2)</w:t>
            </w:r>
          </w:p>
        </w:tc>
        <w:tc>
          <w:tcPr>
            <w:tcW w:type="dxa" w:w="1805"/>
          </w:tcPr>
          <w:p>
            <w:pPr>
              <w:spacing w:after="0" w:before="0" w:line="240" w:lineRule="auto"/>
            </w:pPr>
            <w:r>
              <w:rPr>
                <w:rFonts w:ascii="Times New Roman" w:hAnsi="Times New Roman" w:eastAsia="Times New Roman" w:cs="Times New Roman"/>
                <w:b w:val="0"/>
                <w:i w:val="0"/>
                <w:color w:val="000000"/>
                <w:sz w:val="18"/>
              </w:rPr>
              <w:t>0.209 ± 0.017</w:t>
            </w:r>
          </w:p>
        </w:tc>
        <w:tc>
          <w:tcPr>
            <w:tcW w:type="dxa" w:w="1805"/>
          </w:tcPr>
          <w:p>
            <w:pPr>
              <w:spacing w:after="0" w:before="0" w:line="240" w:lineRule="auto"/>
            </w:pPr>
            <w:r>
              <w:rPr>
                <w:rFonts w:ascii="Times New Roman" w:hAnsi="Times New Roman" w:eastAsia="Times New Roman" w:cs="Times New Roman"/>
                <w:b w:val="0"/>
                <w:i w:val="0"/>
                <w:color w:val="000000"/>
                <w:sz w:val="18"/>
              </w:rPr>
              <w:t>Tie (n.s., p=0.294)</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Clean</w:t>
            </w:r>
          </w:p>
        </w:tc>
        <w:tc>
          <w:tcPr>
            <w:tcW w:type="dxa" w:w="1805"/>
          </w:tcPr>
          <w:p>
            <w:pPr>
              <w:spacing w:after="0" w:before="0" w:line="240" w:lineRule="auto"/>
            </w:pPr>
            <w:r>
              <w:rPr>
                <w:rFonts w:ascii="Times New Roman" w:hAnsi="Times New Roman" w:eastAsia="Times New Roman" w:cs="Times New Roman"/>
                <w:b w:val="0"/>
                <w:i w:val="0"/>
                <w:color w:val="000000"/>
                <w:sz w:val="18"/>
              </w:rPr>
              <w:t>0.257 ± 0.019 (k=5,gap2)</w:t>
            </w:r>
          </w:p>
        </w:tc>
        <w:tc>
          <w:tcPr>
            <w:tcW w:type="dxa" w:w="1805"/>
          </w:tcPr>
          <w:p>
            <w:pPr>
              <w:spacing w:after="0" w:before="0" w:line="240" w:lineRule="auto"/>
            </w:pPr>
            <w:r>
              <w:rPr>
                <w:rFonts w:ascii="Times New Roman" w:hAnsi="Times New Roman" w:eastAsia="Times New Roman" w:cs="Times New Roman"/>
                <w:b/>
                <w:i w:val="0"/>
                <w:color w:val="000000"/>
                <w:sz w:val="18"/>
              </w:rPr>
              <w:t>0.212 ± 0.016</w:t>
            </w:r>
          </w:p>
        </w:tc>
        <w:tc>
          <w:tcPr>
            <w:tcW w:type="dxa" w:w="1805"/>
          </w:tcPr>
          <w:p>
            <w:pPr>
              <w:spacing w:after="0" w:before="0" w:line="240" w:lineRule="auto"/>
            </w:pPr>
            <w:r>
              <w:rPr>
                <w:rFonts w:ascii="Times New Roman" w:hAnsi="Times New Roman" w:eastAsia="Times New Roman" w:cs="Times New Roman"/>
                <w:b w:val="0"/>
                <w:i w:val="0"/>
                <w:color w:val="000000"/>
                <w:sz w:val="18"/>
              </w:rPr>
              <w:t>FT2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Indel (0.02)</w:t>
            </w:r>
          </w:p>
        </w:tc>
        <w:tc>
          <w:tcPr>
            <w:tcW w:type="dxa" w:w="1805"/>
          </w:tcPr>
          <w:p>
            <w:pPr>
              <w:spacing w:after="0" w:before="0" w:line="240" w:lineRule="auto"/>
            </w:pPr>
            <w:r>
              <w:rPr>
                <w:rFonts w:ascii="Times New Roman" w:hAnsi="Times New Roman" w:eastAsia="Times New Roman" w:cs="Times New Roman"/>
                <w:b w:val="0"/>
                <w:i w:val="0"/>
                <w:color w:val="000000"/>
                <w:sz w:val="18"/>
              </w:rPr>
              <w:t>0.226 ± 0.015 (k=5,gap2)</w:t>
            </w:r>
          </w:p>
        </w:tc>
        <w:tc>
          <w:tcPr>
            <w:tcW w:type="dxa" w:w="1805"/>
          </w:tcPr>
          <w:p>
            <w:pPr>
              <w:spacing w:after="0" w:before="0" w:line="240" w:lineRule="auto"/>
            </w:pPr>
            <w:r>
              <w:rPr>
                <w:rFonts w:ascii="Times New Roman" w:hAnsi="Times New Roman" w:eastAsia="Times New Roman" w:cs="Times New Roman"/>
                <w:b/>
                <w:i w:val="0"/>
                <w:color w:val="000000"/>
                <w:sz w:val="18"/>
              </w:rPr>
              <w:t>0.212 ± 0.014</w:t>
            </w:r>
          </w:p>
        </w:tc>
        <w:tc>
          <w:tcPr>
            <w:tcW w:type="dxa" w:w="1805"/>
          </w:tcPr>
          <w:p>
            <w:pPr>
              <w:spacing w:after="0" w:before="0" w:line="240" w:lineRule="auto"/>
            </w:pPr>
            <w:r>
              <w:rPr>
                <w:rFonts w:ascii="Times New Roman" w:hAnsi="Times New Roman" w:eastAsia="Times New Roman" w:cs="Times New Roman"/>
                <w:b w:val="0"/>
                <w:i w:val="0"/>
                <w:color w:val="000000"/>
                <w:sz w:val="18"/>
              </w:rPr>
              <w:t>FT2 (p=1.54×10⁻⁴)</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Best result in </w:t>
      </w:r>
      <w:r>
        <w:rPr>
          <w:rFonts w:ascii="Times New Roman" w:hAnsi="Times New Roman" w:eastAsia="Times New Roman" w:cs="Times New Roman"/>
          <w:b/>
          <w:i w:val="0"/>
          <w:color w:val="000000"/>
          <w:sz w:val="24"/>
        </w:rPr>
        <w:t>bold</w:t>
      </w:r>
      <w:r>
        <w:rPr>
          <w:rFonts w:ascii="Times New Roman" w:hAnsi="Times New Roman" w:eastAsia="Times New Roman" w:cs="Times New Roman"/>
          <w:b w:val="0"/>
          <w:i w:val="0"/>
          <w:color w:val="000000"/>
          <w:sz w:val="24"/>
        </w:rPr>
        <w:t>. Values are mean ± standard deviation, computed with the root-independent (unrooted) RF definition given in the Methods. Seed counts differ by condition: 130 seeds for n=200 (clean: seeds 100–229; indel: seeds 100–229), 30 seeds for n=500 and n=1000. All nRF values are TRUE-relative (vs the simulated ground-truth tree).</w:t>
      </w:r>
    </w:p>
    <w:p>
      <w:pPr>
        <w:spacing w:after="120" w:line="360" w:lineRule="auto"/>
      </w:pPr>
      <w:r>
        <w:rPr>
          <w:rFonts w:ascii="Times New Roman" w:hAnsi="Times New Roman" w:eastAsia="Times New Roman" w:cs="Times New Roman"/>
          <w:b w:val="0"/>
          <w:i w:val="0"/>
          <w:color w:val="000000"/>
          <w:sz w:val="24"/>
        </w:rPr>
        <w:t>† After Bonferroni correction across the 6 ground-truth datasets (α≈0.008), the significant comparisons are reported in Supplementary Table S8. Note that under the root-independent RF definition used here, the direction of the clean-data comparisons is unchanged (FT2 better) while the n=200 indel comparison is borderline (p=0.0507 on integer RF counts with the zero-split convention; not significant at α=0.05); an earlier metric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biased comparisons in Fusang's favour and is no longer used (see Methods).</w:t>
      </w:r>
    </w:p>
    <w:p>
      <w:pPr>
        <w:spacing w:after="120" w:line="360" w:lineRule="auto"/>
      </w:pPr>
      <w:r>
        <w:rPr>
          <w:rFonts w:ascii="Times New Roman" w:hAnsi="Times New Roman" w:eastAsia="Times New Roman" w:cs="Times New Roman"/>
          <w:b w:val="0"/>
          <w:i w:val="0"/>
          <w:color w:val="000000"/>
          <w:sz w:val="24"/>
        </w:rPr>
        <w:t xml:space="preserve">Importantly, Fusang achieves this accuracy with </w:t>
      </w:r>
      <w:r>
        <w:rPr>
          <w:rFonts w:ascii="Times New Roman" w:hAnsi="Times New Roman" w:eastAsia="Times New Roman" w:cs="Times New Roman"/>
          <w:b/>
          <w:i w:val="0"/>
          <w:color w:val="000000"/>
          <w:sz w:val="24"/>
        </w:rPr>
        <w:t>zero sequence alignment</w:t>
      </w:r>
      <w:r>
        <w:rPr>
          <w:rFonts w:ascii="Times New Roman" w:hAnsi="Times New Roman" w:eastAsia="Times New Roman" w:cs="Times New Roman"/>
          <w:b w:val="0"/>
          <w:i w:val="0"/>
          <w:color w:val="000000"/>
          <w:sz w:val="24"/>
        </w:rPr>
        <w:t>, operating directly on raw FASTA sequences. The multi-k ensemble variant (see below) not only matches the best single-k configuration without manual k selection but is, on this benchmark, significantly more accurate than the default spaced+NNI pipeline (0.1940 vs 0.1990, p=0.0077; see the Multi-k section). On clean data at n≥500, MSA-based methods retain a clear advantage (p&lt;0.001 after correction), indicating that full positional information from alignment benefits ML inference when indels are absent.</w:t>
      </w:r>
    </w:p>
    <w:p>
      <w:pPr>
        <w:keepNext/>
        <w:spacing w:before="200" w:after="120" w:line="276" w:lineRule="auto"/>
      </w:pPr>
      <w:r>
        <w:rPr>
          <w:rFonts w:ascii="Times New Roman" w:hAnsi="Times New Roman" w:eastAsia="Times New Roman" w:cs="Times New Roman"/>
          <w:b/>
          <w:i w:val="0"/>
          <w:color w:val="000000"/>
          <w:sz w:val="26"/>
        </w:rPr>
        <w:t>Spaced k-mers vs MinHash approaches under indels</w:t>
      </w:r>
    </w:p>
    <w:p>
      <w:pPr>
        <w:spacing w:after="120" w:line="360" w:lineRule="auto"/>
      </w:pPr>
      <w:r>
        <w:rPr>
          <w:rFonts w:ascii="Times New Roman" w:hAnsi="Times New Roman" w:eastAsia="Times New Roman" w:cs="Times New Roman"/>
          <w:b w:val="0"/>
          <w:i w:val="0"/>
          <w:color w:val="000000"/>
          <w:sz w:val="24"/>
        </w:rPr>
        <w:t xml:space="preserve">To evaluate the robustness of k-mer cosine distances against a widely-used alignment-free alternative, we compared Fusang (spaced k=5, gap2 → mask </w:t>
      </w:r>
      <w:r>
        <w:rPr>
          <w:rFonts w:ascii="Consolas" w:hAnsi="Consolas" w:eastAsia="Consolas" w:cs="Consolas"/>
          <w:b w:val="0"/>
          <w:i w:val="0"/>
          <w:color w:val="000000"/>
          <w:sz w:val="24"/>
        </w:rPr>
        <w:t>1110011</w:t>
      </w:r>
      <w:r>
        <w:rPr>
          <w:rFonts w:ascii="Times New Roman" w:hAnsi="Times New Roman" w:eastAsia="Times New Roman" w:cs="Times New Roman"/>
          <w:b w:val="0"/>
          <w:i w:val="0"/>
          <w:color w:val="000000"/>
          <w:sz w:val="24"/>
        </w:rPr>
        <w:t>, cosine distance, NJ) with Mash (contiguous k=21, MinHash Jaccard, NJ) on both clean and indel-rich data (n=200, L=500 bp, INDELible v1.03, sub=0.05, indel=0.02, 30 seeds 100–129), scoring every tree against the simulated ground truth (per-seed data: Supplementary Table S14). This benchmark uses the same INDELible datasets and the same seed range as Table 1, so its absolute nRF values are on the same scale as Tables 1 and 3 and are directly comparable with them; no cross-benchmark rescaling is needed, and the earlier caveat that Table 2 lived on its own simulation protocol no longer applies.</w:t>
      </w:r>
    </w:p>
    <w:p>
      <w:pPr>
        <w:spacing w:after="120" w:line="360" w:lineRule="auto"/>
      </w:pPr>
      <w:r>
        <w:rPr>
          <w:rFonts w:ascii="Times New Roman" w:hAnsi="Times New Roman" w:eastAsia="Times New Roman" w:cs="Times New Roman"/>
          <w:b/>
          <w:i w:val="0"/>
          <w:color w:val="000000"/>
          <w:sz w:val="24"/>
        </w:rPr>
        <w:t>Table 2. Spaced k-mer cosine vs MinHash robustness (n=200, L=500 bp, INDELible v1.03, seeds 100–129, 30 seeds; TRUE-relative, standard root-independent unrooted RF).</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Mean nRF (clean) ↓</w:t>
            </w:r>
          </w:p>
        </w:tc>
        <w:tc>
          <w:tcPr>
            <w:tcW w:type="dxa" w:w="1805"/>
          </w:tcPr>
          <w:p>
            <w:pPr>
              <w:spacing w:after="0" w:before="0" w:line="240" w:lineRule="auto"/>
            </w:pPr>
            <w:r>
              <w:rPr>
                <w:rFonts w:ascii="Times New Roman" w:hAnsi="Times New Roman" w:eastAsia="Times New Roman" w:cs="Times New Roman"/>
                <w:b/>
                <w:i w:val="0"/>
                <w:color w:val="000000"/>
                <w:sz w:val="18"/>
              </w:rPr>
              <w:t>Mean nRF (indel 0.02) ↓</w:t>
            </w:r>
          </w:p>
        </w:tc>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clean→indel change (per seed)</w:t>
            </w:r>
          </w:p>
        </w:tc>
      </w:tr>
      <w:tr>
        <w:tc>
          <w:tcPr>
            <w:tcW w:type="dxa" w:w="1805"/>
          </w:tcPr>
          <w:p>
            <w:pPr>
              <w:spacing w:after="0" w:before="0" w:line="240" w:lineRule="auto"/>
            </w:pPr>
            <w:r>
              <w:rPr>
                <w:rFonts w:ascii="Times New Roman" w:hAnsi="Times New Roman" w:eastAsia="Times New Roman" w:cs="Times New Roman"/>
                <w:b w:val="0"/>
                <w:i w:val="0"/>
                <w:color w:val="000000"/>
                <w:sz w:val="18"/>
              </w:rPr>
              <w:t xml:space="preserve">Fusang (k=5, gap2 → </w:t>
            </w:r>
            <w:r>
              <w:rPr>
                <w:rFonts w:ascii="Consolas" w:hAnsi="Consolas" w:eastAsia="Consolas" w:cs="Consolas"/>
                <w:b w:val="0"/>
                <w:i w:val="0"/>
                <w:color w:val="000000"/>
                <w:sz w:val="18"/>
              </w:rPr>
              <w:t>1110011</w:t>
            </w:r>
            <w:r>
              <w:rPr>
                <w:rFonts w:ascii="Times New Roman" w:hAnsi="Times New Roman" w:eastAsia="Times New Roman" w:cs="Times New Roman"/>
                <w:b w:val="0"/>
                <w:i w:val="0"/>
                <w:color w:val="000000"/>
                <w:sz w:val="18"/>
              </w:rPr>
              <w:t>, cosine, NJ)</w:t>
            </w:r>
          </w:p>
        </w:tc>
        <w:tc>
          <w:tcPr>
            <w:tcW w:type="dxa" w:w="1805"/>
          </w:tcPr>
          <w:p>
            <w:pPr>
              <w:spacing w:after="0" w:before="0" w:line="240" w:lineRule="auto"/>
            </w:pPr>
            <w:r>
              <w:rPr>
                <w:rFonts w:ascii="Times New Roman" w:hAnsi="Times New Roman" w:eastAsia="Times New Roman" w:cs="Times New Roman"/>
                <w:b/>
                <w:i w:val="0"/>
                <w:color w:val="000000"/>
                <w:sz w:val="18"/>
              </w:rPr>
              <w:t>0.2364 ± 0.0336</w:t>
            </w:r>
          </w:p>
        </w:tc>
        <w:tc>
          <w:tcPr>
            <w:tcW w:type="dxa" w:w="1805"/>
          </w:tcPr>
          <w:p>
            <w:pPr>
              <w:spacing w:after="0" w:before="0" w:line="240" w:lineRule="auto"/>
            </w:pPr>
            <w:r>
              <w:rPr>
                <w:rFonts w:ascii="Times New Roman" w:hAnsi="Times New Roman" w:eastAsia="Times New Roman" w:cs="Times New Roman"/>
                <w:b/>
                <w:i w:val="0"/>
                <w:color w:val="000000"/>
                <w:sz w:val="18"/>
              </w:rPr>
              <w:t>0.1926 ± 0.0272</w:t>
            </w:r>
          </w:p>
        </w:tc>
        <w:tc>
          <w:tcPr>
            <w:tcW w:type="dxa" w:w="1805"/>
          </w:tcPr>
          <w:p>
            <w:pPr>
              <w:spacing w:after="0" w:before="0" w:line="240" w:lineRule="auto"/>
            </w:pPr>
            <w:r>
              <w:rPr>
                <w:rFonts w:ascii="Times New Roman" w:hAnsi="Times New Roman" w:eastAsia="Times New Roman" w:cs="Times New Roman"/>
                <w:b w:val="0"/>
                <w:i w:val="0"/>
                <w:color w:val="000000"/>
                <w:sz w:val="18"/>
              </w:rPr>
              <w:t>30</w:t>
            </w:r>
          </w:p>
        </w:tc>
        <w:tc>
          <w:tcPr>
            <w:tcW w:type="dxa" w:w="1805"/>
          </w:tcPr>
          <w:p>
            <w:pPr>
              <w:spacing w:after="0" w:before="0" w:line="240" w:lineRule="auto"/>
            </w:pPr>
            <w:r>
              <w:rPr>
                <w:rFonts w:ascii="Times New Roman" w:hAnsi="Times New Roman" w:eastAsia="Times New Roman" w:cs="Times New Roman"/>
                <w:b/>
                <w:i w:val="0"/>
                <w:color w:val="000000"/>
                <w:sz w:val="18"/>
              </w:rPr>
              <w:t>0.827 ± 0.144 (improves, p=6.2×10⁻⁶)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Mash (MinHash k=21, s=10,000, NJ)</w:t>
            </w:r>
          </w:p>
        </w:tc>
        <w:tc>
          <w:tcPr>
            <w:tcW w:type="dxa" w:w="1805"/>
          </w:tcPr>
          <w:p>
            <w:pPr>
              <w:spacing w:after="0" w:before="0" w:line="240" w:lineRule="auto"/>
            </w:pPr>
            <w:r>
              <w:rPr>
                <w:rFonts w:ascii="Times New Roman" w:hAnsi="Times New Roman" w:eastAsia="Times New Roman" w:cs="Times New Roman"/>
                <w:b w:val="0"/>
                <w:i w:val="0"/>
                <w:color w:val="000000"/>
                <w:sz w:val="18"/>
              </w:rPr>
              <w:t>0.3486 ± 0.0351</w:t>
            </w:r>
          </w:p>
        </w:tc>
        <w:tc>
          <w:tcPr>
            <w:tcW w:type="dxa" w:w="1805"/>
          </w:tcPr>
          <w:p>
            <w:pPr>
              <w:spacing w:after="0" w:before="0" w:line="240" w:lineRule="auto"/>
            </w:pPr>
            <w:r>
              <w:rPr>
                <w:rFonts w:ascii="Times New Roman" w:hAnsi="Times New Roman" w:eastAsia="Times New Roman" w:cs="Times New Roman"/>
                <w:b w:val="0"/>
                <w:i w:val="0"/>
                <w:color w:val="000000"/>
                <w:sz w:val="18"/>
              </w:rPr>
              <w:t>0.4034 ± 0.0844</w:t>
            </w:r>
          </w:p>
        </w:tc>
        <w:tc>
          <w:tcPr>
            <w:tcW w:type="dxa" w:w="1805"/>
          </w:tcPr>
          <w:p>
            <w:pPr>
              <w:spacing w:after="0" w:before="0" w:line="240" w:lineRule="auto"/>
            </w:pPr>
            <w:r>
              <w:rPr>
                <w:rFonts w:ascii="Times New Roman" w:hAnsi="Times New Roman" w:eastAsia="Times New Roman" w:cs="Times New Roman"/>
                <w:b w:val="0"/>
                <w:i w:val="0"/>
                <w:color w:val="000000"/>
                <w:sz w:val="18"/>
              </w:rPr>
              <w:t>30</w:t>
            </w:r>
          </w:p>
        </w:tc>
        <w:tc>
          <w:tcPr>
            <w:tcW w:type="dxa" w:w="1805"/>
          </w:tcPr>
          <w:p>
            <w:pPr>
              <w:spacing w:after="0" w:before="0" w:line="240" w:lineRule="auto"/>
            </w:pPr>
            <w:r>
              <w:rPr>
                <w:rFonts w:ascii="Times New Roman" w:hAnsi="Times New Roman" w:eastAsia="Times New Roman" w:cs="Times New Roman"/>
                <w:b w:val="0"/>
                <w:i w:val="0"/>
                <w:color w:val="000000"/>
                <w:sz w:val="18"/>
              </w:rPr>
              <w:t>1.164 ± 0.244 (degrades, p=3.0×10⁻³)</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best result in </w:t>
      </w:r>
      <w:r>
        <w:rPr>
          <w:rFonts w:ascii="Times New Roman" w:hAnsi="Times New Roman" w:eastAsia="Times New Roman" w:cs="Times New Roman"/>
          <w:b/>
          <w:i w:val="0"/>
          <w:color w:val="000000"/>
          <w:sz w:val="24"/>
        </w:rPr>
        <w:t>bold</w:t>
      </w:r>
      <w:r>
        <w:rPr>
          <w:rFonts w:ascii="Times New Roman" w:hAnsi="Times New Roman" w:eastAsia="Times New Roman" w:cs="Times New Roman"/>
          <w:b w:val="0"/>
          <w:i w:val="0"/>
          <w:color w:val="000000"/>
          <w:sz w:val="24"/>
        </w:rPr>
        <w:t xml:space="preserve">. The clean→indel column is the per-seed ratio indel/clean (mean ± SD over the 30 seeds) with the paired Wilcoxon p-value (zsplit) for indel vs clean; a ratio below 1 means the method is </w:t>
      </w:r>
      <w:r>
        <w:rPr>
          <w:rFonts w:ascii="Times New Roman" w:hAnsi="Times New Roman" w:eastAsia="Times New Roman" w:cs="Times New Roman"/>
          <w:b w:val="0"/>
          <w:i/>
          <w:color w:val="000000"/>
          <w:sz w:val="24"/>
        </w:rPr>
        <w:t>more</w:t>
      </w:r>
      <w:r>
        <w:rPr>
          <w:rFonts w:ascii="Times New Roman" w:hAnsi="Times New Roman" w:eastAsia="Times New Roman" w:cs="Times New Roman"/>
          <w:b w:val="0"/>
          <w:i w:val="0"/>
          <w:color w:val="000000"/>
          <w:sz w:val="24"/>
        </w:rPr>
        <w:t xml:space="preserve"> accurate under indels. Paired Mash − Fusang comparison (positive = Mash worse): clean +0.1122 (Wilcoxon p=1.73×10⁻⁶; sign-flip permutation p=1.86×10⁻⁹; paired Cohen's d=3.123; Fusang better in 30/30 seeds), indel +0.2108 (p=1.86×10⁻⁹; d=2.615; Fusang better in 30/30 seeds). A 130-seed sensitivity run over the full seed range (seeds 100–229) gives the same picture (Fusang 0.2343 clean / 0.1990 indel; Mash 0.3529 / 0.4075; Fusang better in 130/130 seeds in both conditions), so the conclusion is not driven by seed count. Mash v2.3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NJ tree;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is required so that a multi-FASTA is treated as separate sequences.</w:t>
      </w:r>
    </w:p>
    <w:p>
      <w:pPr>
        <w:spacing w:after="120" w:line="360" w:lineRule="auto"/>
      </w:pPr>
      <w:r>
        <w:rPr>
          <w:rFonts w:ascii="Times New Roman" w:hAnsi="Times New Roman" w:eastAsia="Times New Roman" w:cs="Times New Roman"/>
          <w:b/>
          <w:i w:val="0"/>
          <w:color w:val="000000"/>
          <w:sz w:val="24"/>
        </w:rPr>
        <w:t>Data provenance and withdrawal.</w:t>
      </w:r>
      <w:r>
        <w:rPr>
          <w:rFonts w:ascii="Times New Roman" w:hAnsi="Times New Roman" w:eastAsia="Times New Roman" w:cs="Times New Roman"/>
          <w:b w:val="0"/>
          <w:i w:val="0"/>
          <w:color w:val="000000"/>
          <w:sz w:val="24"/>
        </w:rPr>
        <w:t xml:space="preserve"> Two independent provenance problems affect the earlier version of this table, and both are disclosed here.</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Defective simulator.</w:t>
      </w:r>
      <w:r>
        <w:rPr>
          <w:rFonts w:ascii="Times New Roman" w:hAnsi="Times New Roman" w:eastAsia="Times New Roman" w:cs="Times New Roman"/>
          <w:b w:val="0"/>
          <w:i w:val="0"/>
          <w:color w:val="000000"/>
          <w:sz w:val="24"/>
        </w:rPr>
        <w:t xml:space="preserve"> Earlier versions reported Fusang 0.376 (clean) / 0.742 (indel) and Mash 0.394 / 0.762, with both methods degrading ~1.9×. Those numbers were produced from </w:t>
      </w:r>
      <w:r>
        <w:rPr>
          <w:rFonts w:ascii="Consolas" w:hAnsi="Consolas" w:eastAsia="Consolas" w:cs="Consolas"/>
          <w:b w:val="0"/>
          <w:i w:val="0"/>
          <w:color w:val="000000"/>
          <w:sz w:val="24"/>
        </w:rPr>
        <w:t>benchmark_mash/{clean,indel}/seed001–030.fasta</w:t>
      </w:r>
      <w:r>
        <w:rPr>
          <w:rFonts w:ascii="Times New Roman" w:hAnsi="Times New Roman" w:eastAsia="Times New Roman" w:cs="Times New Roman"/>
          <w:b w:val="0"/>
          <w:i w:val="0"/>
          <w:color w:val="000000"/>
          <w:sz w:val="24"/>
        </w:rPr>
        <w:t xml:space="preserve">, generated by the hand-written coalescent simulator </w:t>
      </w:r>
      <w:r>
        <w:rPr>
          <w:rFonts w:ascii="Consolas" w:hAnsi="Consolas" w:eastAsia="Consolas" w:cs="Consolas"/>
          <w:b w:val="0"/>
          <w:i w:val="0"/>
          <w:color w:val="000000"/>
          <w:sz w:val="24"/>
        </w:rPr>
        <w:t>tree_simulation.py</w:t>
      </w:r>
      <w:r>
        <w:rPr>
          <w:rFonts w:ascii="Times New Roman" w:hAnsi="Times New Roman" w:eastAsia="Times New Roman" w:cs="Times New Roman"/>
          <w:b w:val="0"/>
          <w:i w:val="0"/>
          <w:color w:val="000000"/>
          <w:sz w:val="24"/>
        </w:rPr>
        <w:t xml:space="preserve"> already found defective for Table 5 (see the provenance note there). Two defects are documented: (a) the JC69 transition probability at </w:t>
      </w:r>
      <w:r>
        <w:rPr>
          <w:rFonts w:ascii="Consolas" w:hAnsi="Consolas" w:eastAsia="Consolas" w:cs="Consolas"/>
          <w:b w:val="0"/>
          <w:i w:val="0"/>
          <w:color w:val="000000"/>
          <w:sz w:val="24"/>
        </w:rPr>
        <w:t>tree_simulation.py:123,132</w:t>
      </w:r>
      <w:r>
        <w:rPr>
          <w:rFonts w:ascii="Times New Roman" w:hAnsi="Times New Roman" w:eastAsia="Times New Roman" w:cs="Times New Roman"/>
          <w:b w:val="0"/>
          <w:i w:val="0"/>
          <w:color w:val="000000"/>
          <w:sz w:val="24"/>
        </w:rPr>
        <w:t xml:space="preserve"> is </w:t>
      </w:r>
      <w:r>
        <w:rPr>
          <w:rFonts w:ascii="Consolas" w:hAnsi="Consolas" w:eastAsia="Consolas" w:cs="Consolas"/>
          <w:b w:val="0"/>
          <w:i w:val="0"/>
          <w:color w:val="000000"/>
          <w:sz w:val="24"/>
        </w:rPr>
        <w:t>0.25 × (1 − exp(−4/3·μ·t))</w:t>
      </w:r>
      <w:r>
        <w:rPr>
          <w:rFonts w:ascii="Times New Roman" w:hAnsi="Times New Roman" w:eastAsia="Times New Roman" w:cs="Times New Roman"/>
          <w:b w:val="0"/>
          <w:i w:val="0"/>
          <w:color w:val="000000"/>
          <w:sz w:val="24"/>
        </w:rPr>
        <w:t xml:space="preserve"> where the coefficient should be 3/4, so realised divergence is one third of the declared value; and (b) </w:t>
      </w:r>
      <w:r>
        <w:rPr>
          <w:rFonts w:ascii="Consolas" w:hAnsi="Consolas" w:eastAsia="Consolas" w:cs="Consolas"/>
          <w:b w:val="0"/>
          <w:i w:val="0"/>
          <w:color w:val="000000"/>
          <w:sz w:val="24"/>
        </w:rPr>
        <w:t>_apply_indels_to_sequence</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tree_simulation.py:153-189</w:t>
      </w:r>
      <w:r>
        <w:rPr>
          <w:rFonts w:ascii="Times New Roman" w:hAnsi="Times New Roman" w:eastAsia="Times New Roman" w:cs="Times New Roman"/>
          <w:b w:val="0"/>
          <w:i w:val="0"/>
          <w:color w:val="000000"/>
          <w:sz w:val="24"/>
        </w:rPr>
        <w:t>) applies indels per leaf and then crops or pads the sequence back to a fixed 1000 bp, destroying positional homology — the fingerprint of this defect is that every sequence in both conditions is exactly 1000 bp with zero length variation even in the indel condition. Indeed the old Fusang indel value (0.742) and the old Table 5 L0 value (0.743) are the same number computed on the same defective data. All four values are withdrawn and replaced by the INDELible figures above.</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Defective Mash execution.</w:t>
      </w:r>
      <w:r>
        <w:rPr>
          <w:rFonts w:ascii="Times New Roman" w:hAnsi="Times New Roman" w:eastAsia="Times New Roman" w:cs="Times New Roman"/>
          <w:b w:val="0"/>
          <w:i w:val="0"/>
          <w:color w:val="000000"/>
          <w:sz w:val="24"/>
        </w:rPr>
        <w:t xml:space="preserve"> The in-repo drivers of the real Mash binary (</w:t>
      </w:r>
      <w:r>
        <w:rPr>
          <w:rFonts w:ascii="Consolas" w:hAnsi="Consolas" w:eastAsia="Consolas" w:cs="Consolas"/>
          <w:b w:val="0"/>
          <w:i w:val="0"/>
          <w:color w:val="000000"/>
          <w:sz w:val="24"/>
        </w:rPr>
        <w:t>mash_multiseed_benchmark.py:34-40</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mash_benchmark_wsl2.py:22-28</w:t>
      </w:r>
      <w:r>
        <w:rPr>
          <w:rFonts w:ascii="Times New Roman" w:hAnsi="Times New Roman" w:eastAsia="Times New Roman" w:cs="Times New Roman"/>
          <w:b w:val="0"/>
          <w:i w:val="0"/>
          <w:color w:val="000000"/>
          <w:sz w:val="24"/>
        </w:rPr>
        <w:t xml:space="preserve">) call </w:t>
      </w:r>
      <w:r>
        <w:rPr>
          <w:rFonts w:ascii="Consolas" w:hAnsi="Consolas" w:eastAsia="Consolas" w:cs="Consolas"/>
          <w:b w:val="0"/>
          <w:i w:val="0"/>
          <w:color w:val="000000"/>
          <w:sz w:val="24"/>
        </w:rPr>
        <w:t>mash sketch</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 xml:space="preserve">without </w:t>
      </w:r>
      <w:r>
        <w:rPr>
          <w:rFonts w:ascii="Consolas" w:hAnsi="Consolas" w:eastAsia="Consolas" w:cs="Consolas"/>
          <w:b/>
          <w:i w:val="0"/>
          <w:color w:val="000000"/>
          <w:sz w:val="24"/>
        </w:rPr>
        <w:t>-i</w:t>
      </w:r>
      <w:r>
        <w:rPr>
          <w:rFonts w:ascii="Times New Roman" w:hAnsi="Times New Roman" w:eastAsia="Times New Roman" w:cs="Times New Roman"/>
          <w:b w:val="0"/>
          <w:i w:val="0"/>
          <w:color w:val="000000"/>
          <w:sz w:val="24"/>
        </w:rPr>
        <w:t xml:space="preserve">, so a multi-sequence FASTA is treated as a single genome rather than as separate sequences; the only script that does pass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mash_run_30seeds.sh</w:t>
      </w:r>
      <w:r>
        <w:rPr>
          <w:rFonts w:ascii="Times New Roman" w:hAnsi="Times New Roman" w:eastAsia="Times New Roman" w:cs="Times New Roman"/>
          <w:b w:val="0"/>
          <w:i w:val="0"/>
          <w:color w:val="000000"/>
          <w:sz w:val="24"/>
        </w:rPr>
        <w:t xml:space="preserve">) recorded ERR for all 30 seeds in </w:t>
      </w:r>
      <w:r>
        <w:rPr>
          <w:rFonts w:ascii="Consolas" w:hAnsi="Consolas" w:eastAsia="Consolas" w:cs="Consolas"/>
          <w:b w:val="0"/>
          <w:i w:val="0"/>
          <w:color w:val="000000"/>
          <w:sz w:val="24"/>
        </w:rPr>
        <w:t>mash_final_results/mash_30seeds.csv</w:t>
      </w:r>
      <w:r>
        <w:rPr>
          <w:rFonts w:ascii="Times New Roman" w:hAnsi="Times New Roman" w:eastAsia="Times New Roman" w:cs="Times New Roman"/>
          <w:b w:val="0"/>
          <w:i w:val="0"/>
          <w:color w:val="000000"/>
          <w:sz w:val="24"/>
        </w:rPr>
        <w:t xml:space="preserve">; and </w:t>
      </w:r>
      <w:r>
        <w:rPr>
          <w:rFonts w:ascii="Consolas" w:hAnsi="Consolas" w:eastAsia="Consolas" w:cs="Consolas"/>
          <w:b w:val="0"/>
          <w:i w:val="0"/>
          <w:color w:val="000000"/>
          <w:sz w:val="24"/>
        </w:rPr>
        <w:t>mash_benchmark_results.csv</w:t>
      </w:r>
      <w:r>
        <w:rPr>
          <w:rFonts w:ascii="Times New Roman" w:hAnsi="Times New Roman" w:eastAsia="Times New Roman" w:cs="Times New Roman"/>
          <w:b w:val="0"/>
          <w:i w:val="0"/>
          <w:color w:val="000000"/>
          <w:sz w:val="24"/>
        </w:rPr>
        <w:t xml:space="preserve"> — the file the old Mash rows were read from — is written by no script in the repository. The replacement runs use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(Mash v2.3, WSL Ubuntu-24.04), and the PHYLIP outputs for 5 seeds × 2 conditions are byte-for-byte reproducible.</w:t>
      </w:r>
    </w:p>
    <w:p>
      <w:pPr>
        <w:spacing w:after="120" w:line="360" w:lineRule="auto"/>
      </w:pPr>
      <w:r>
        <w:rPr>
          <w:rFonts w:ascii="Times New Roman" w:hAnsi="Times New Roman" w:eastAsia="Times New Roman" w:cs="Times New Roman"/>
          <w:b/>
          <w:i w:val="0"/>
          <w:color w:val="000000"/>
          <w:sz w:val="24"/>
        </w:rPr>
        <w:t>Metric and implementation stability.</w:t>
      </w:r>
      <w:r>
        <w:rPr>
          <w:rFonts w:ascii="Times New Roman" w:hAnsi="Times New Roman" w:eastAsia="Times New Roman" w:cs="Times New Roman"/>
          <w:b w:val="0"/>
          <w:i w:val="0"/>
          <w:color w:val="000000"/>
          <w:sz w:val="24"/>
        </w:rPr>
        <w:t xml:space="preserve"> Shuffling taxon order moves nRF by at most 0.015. DendroPy 5.0.8 (</w:t>
      </w:r>
      <w:r>
        <w:rPr>
          <w:rFonts w:ascii="Consolas" w:hAnsi="Consolas" w:eastAsia="Consolas" w:cs="Consolas"/>
          <w:b w:val="0"/>
          <w:i w:val="0"/>
          <w:color w:val="000000"/>
          <w:sz w:val="24"/>
        </w:rPr>
        <w:t>treecompare.symmetric_difference</w:t>
      </w:r>
      <w:r>
        <w:rPr>
          <w:rFonts w:ascii="Times New Roman" w:hAnsi="Times New Roman" w:eastAsia="Times New Roman" w:cs="Times New Roman"/>
          <w:b w:val="0"/>
          <w:i w:val="0"/>
          <w:color w:val="000000"/>
          <w:sz w:val="24"/>
        </w:rPr>
        <w:t xml:space="preserve"> with </w:t>
      </w:r>
      <w:r>
        <w:rPr>
          <w:rFonts w:ascii="Consolas" w:hAnsi="Consolas" w:eastAsia="Consolas" w:cs="Consolas"/>
          <w:b w:val="0"/>
          <w:i w:val="0"/>
          <w:color w:val="000000"/>
          <w:sz w:val="24"/>
        </w:rPr>
        <w:t>rooting='force-unrooted'</w:t>
      </w:r>
      <w:r>
        <w:rPr>
          <w:rFonts w:ascii="Times New Roman" w:hAnsi="Times New Roman" w:eastAsia="Times New Roman" w:cs="Times New Roman"/>
          <w:b w:val="0"/>
          <w:i w:val="0"/>
          <w:color w:val="000000"/>
          <w:sz w:val="24"/>
        </w:rPr>
        <w:t xml:space="preserve">) agrees exactly with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on 24 tree pairs (6 seeds × 2 conditions × 2 methods), and all 260 trees scored for this table were verified as fully resolved (197 = n−3 splits each).</w:t>
      </w:r>
    </w:p>
    <w:p>
      <w:pPr>
        <w:spacing w:after="120" w:line="360" w:lineRule="auto"/>
      </w:pPr>
      <w:r>
        <w:rPr>
          <w:rFonts w:ascii="Times New Roman" w:hAnsi="Times New Roman" w:eastAsia="Times New Roman" w:cs="Times New Roman"/>
          <w:b w:val="0"/>
          <w:i w:val="0"/>
          <w:color w:val="000000"/>
          <w:sz w:val="24"/>
        </w:rPr>
        <w:t>Three findings emerge from the Mash benchmark:</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Mash is far less accurate than k-mer cosine on gene-length data, in both conditions.</w:t>
      </w:r>
      <w:r>
        <w:rPr>
          <w:rFonts w:ascii="Times New Roman" w:hAnsi="Times New Roman" w:eastAsia="Times New Roman" w:cs="Times New Roman"/>
          <w:b w:val="0"/>
          <w:i w:val="0"/>
          <w:color w:val="000000"/>
          <w:sz w:val="24"/>
        </w:rPr>
        <w:t xml:space="preserve"> On clean substitution-only sequences Mash gives 0.3486 ± 0.0351 against Fusang's 0.2364 ± 0.0336 — a gap of +0.1122 nRF (paired d=3.123, Fusang better in 30/30 seeds); on indel-rich data the gap widens to +0.2108 (0.4034 ± 0.0844 vs 0.1926 ± 0.0272, d=2.615, 30/30). The earlier claim that the two methods are roughly comparable was an artefact of the defective simulator, under which both were driven close to the random-tree ceiling and their differences compressed.</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The two methods respond to indels in opposite directions, and neither degrades severely.</w:t>
      </w:r>
      <w:r>
        <w:rPr>
          <w:rFonts w:ascii="Times New Roman" w:hAnsi="Times New Roman" w:eastAsia="Times New Roman" w:cs="Times New Roman"/>
          <w:b w:val="0"/>
          <w:i w:val="0"/>
          <w:color w:val="000000"/>
          <w:sz w:val="24"/>
        </w:rPr>
        <w:t xml:space="preserve"> Mash degrades significantly but modestly (0.3486 → 0.4034; per-seed ratio 1.164 ± 0.244; paired +0.0548, Wilcoxon p=3.0×10⁻³), while Fusang's spaced k-mer cosine significantly </w:t>
      </w:r>
      <w:r>
        <w:rPr>
          <w:rFonts w:ascii="Times New Roman" w:hAnsi="Times New Roman" w:eastAsia="Times New Roman" w:cs="Times New Roman"/>
          <w:b w:val="0"/>
          <w:i/>
          <w:color w:val="000000"/>
          <w:sz w:val="24"/>
        </w:rPr>
        <w:t>improves</w:t>
      </w:r>
      <w:r>
        <w:rPr>
          <w:rFonts w:ascii="Times New Roman" w:hAnsi="Times New Roman" w:eastAsia="Times New Roman" w:cs="Times New Roman"/>
          <w:b w:val="0"/>
          <w:i w:val="0"/>
          <w:color w:val="000000"/>
          <w:sz w:val="24"/>
        </w:rPr>
        <w:t xml:space="preserve"> (0.2364 → 0.1926; ratio 0.827 ± 0.144; paired −0.0438, p=6.2×10⁻⁶) — consistent with the indel-rate scan in Table 3, where Fusang's advantage over FastTree2 grows with indel rate. The claim in earlier versions that both degrade ~1.9× is withdrawn. The mechanistic story changes accordingly: MinHash's deficit on gene-length sequences is a poor </w:t>
      </w:r>
      <w:r>
        <w:rPr>
          <w:rFonts w:ascii="Times New Roman" w:hAnsi="Times New Roman" w:eastAsia="Times New Roman" w:cs="Times New Roman"/>
          <w:b w:val="0"/>
          <w:i/>
          <w:color w:val="000000"/>
          <w:sz w:val="24"/>
        </w:rPr>
        <w:t>baseline</w:t>
      </w:r>
      <w:r>
        <w:rPr>
          <w:rFonts w:ascii="Times New Roman" w:hAnsi="Times New Roman" w:eastAsia="Times New Roman" w:cs="Times New Roman"/>
          <w:b w:val="0"/>
          <w:i w:val="0"/>
          <w:color w:val="000000"/>
          <w:sz w:val="24"/>
        </w:rPr>
        <w:t>, not exceptional indel sensitivity — at L=500 bp with k=21, nearly every 21-mer is unique, so Jaccard similarities saturate near zero and carry little signal whether or not indels are present. Indel robustness is a genuine advantage of k-mer cosine, but the dominant advantage here is absolute accuracy.</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MinHash Jaccard is not recommended for phylogenetic inference on gene-length sequences.</w:t>
      </w:r>
      <w:r>
        <w:rPr>
          <w:rFonts w:ascii="Times New Roman" w:hAnsi="Times New Roman" w:eastAsia="Times New Roman" w:cs="Times New Roman"/>
          <w:b w:val="0"/>
          <w:i w:val="0"/>
          <w:color w:val="000000"/>
          <w:sz w:val="24"/>
        </w:rPr>
        <w:t xml:space="preserve"> Mash was designed for whole-genome distance estimation, where genome-scale content masking makes MinHash effective. For gene-length sequences (L=500–1000 bp), the combination of short sequence length and a large k produces unreliable MinHash distances irrespective of indel content. K-mer cosine distances (Fusang) are the recommended alignment-free approach for phylogenetic inference at this scale.</w:t>
      </w:r>
    </w:p>
    <w:p>
      <w:pPr>
        <w:keepNext/>
        <w:spacing w:before="200" w:after="120" w:line="276" w:lineRule="auto"/>
      </w:pPr>
      <w:r>
        <w:rPr>
          <w:rFonts w:ascii="Times New Roman" w:hAnsi="Times New Roman" w:eastAsia="Times New Roman" w:cs="Times New Roman"/>
          <w:b/>
          <w:i w:val="0"/>
          <w:color w:val="000000"/>
          <w:sz w:val="26"/>
        </w:rPr>
        <w:t>Indel robustness: Fusang advantage grows with indel rate</w:t>
      </w:r>
    </w:p>
    <w:p>
      <w:pPr>
        <w:spacing w:after="120" w:line="360" w:lineRule="auto"/>
      </w:pPr>
      <w:r>
        <w:rPr>
          <w:rFonts w:ascii="Times New Roman" w:hAnsi="Times New Roman" w:eastAsia="Times New Roman" w:cs="Times New Roman"/>
          <w:b w:val="0"/>
          <w:i w:val="0"/>
          <w:color w:val="000000"/>
          <w:sz w:val="24"/>
        </w:rP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increases with indel rate but crosses zero only between indel rates 0.01 and 0.02: Fusang is significantly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than FastTree2 at 0.005 (−8.9%, p=1.75×10⁻¹¹) and at 0.01 (−5.1%, p=5.20×10⁻⁵), numerically better at 0.02 (+2.8%, p=0.0507 — borderline, not significant at α=0.05 under the zero-split convention used throughout), and clearly better at 0.05 (+10.9%, p=1.27×10⁻¹¹, Fusang better in 99/130 seeds) (Table 3). At the biologically realistic indel rate of 0.02, Fusang is numerically better than FastTree2 but not significantly so (TRUE-relative nRF: Fusang 0.199 ± 0.030 vs FastTree2 0.205 ± 0.030, 130 seeds, paired Wilcoxon p=0.0507, borderline).</w:t>
      </w:r>
    </w:p>
    <w:p>
      <w:pPr>
        <w:spacing w:after="120" w:line="360" w:lineRule="auto"/>
      </w:pPr>
      <w:r>
        <w:rPr>
          <w:rFonts w:ascii="Times New Roman" w:hAnsi="Times New Roman" w:eastAsia="Times New Roman" w:cs="Times New Roman"/>
          <w:b/>
          <w:i w:val="0"/>
          <w:color w:val="000000"/>
          <w:sz w:val="24"/>
        </w:rPr>
        <w:t>Table 3. Indel rate scan: Fusang vs FastTree2 (n=200, L=500 bp; all four indel rates use 130 seeds 100–229). All nRF values are TRUE-relative (vs simulated ground-truth tree).</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before="0" w:line="240" w:lineRule="auto"/>
            </w:pPr>
            <w:r>
              <w:rPr>
                <w:rFonts w:ascii="Times New Roman" w:hAnsi="Times New Roman" w:eastAsia="Times New Roman" w:cs="Times New Roman"/>
                <w:b/>
                <w:i w:val="0"/>
                <w:color w:val="000000"/>
                <w:sz w:val="18"/>
              </w:rPr>
              <w:t>Indel Rate</w:t>
            </w:r>
          </w:p>
        </w:tc>
        <w:tc>
          <w:tcPr>
            <w:tcW w:type="dxa" w:w="3009"/>
          </w:tcPr>
          <w:p>
            <w:pPr>
              <w:spacing w:after="0" w:before="0" w:line="240" w:lineRule="auto"/>
            </w:pPr>
            <w:r>
              <w:rPr>
                <w:rFonts w:ascii="Times New Roman" w:hAnsi="Times New Roman" w:eastAsia="Times New Roman" w:cs="Times New Roman"/>
                <w:b/>
                <w:i w:val="0"/>
                <w:color w:val="000000"/>
                <w:sz w:val="18"/>
              </w:rPr>
              <w:t>Fusang nRF ↓ (TRUE-rel)</w:t>
            </w:r>
          </w:p>
        </w:tc>
        <w:tc>
          <w:tcPr>
            <w:tcW w:type="dxa" w:w="3009"/>
          </w:tcPr>
          <w:p>
            <w:pPr>
              <w:spacing w:after="0" w:before="0" w:line="240" w:lineRule="auto"/>
            </w:pPr>
            <w:r>
              <w:rPr>
                <w:rFonts w:ascii="Times New Roman" w:hAnsi="Times New Roman" w:eastAsia="Times New Roman" w:cs="Times New Roman"/>
                <w:b/>
                <w:i w:val="0"/>
                <w:color w:val="000000"/>
                <w:sz w:val="18"/>
              </w:rPr>
              <w:t>FastTree2 nRF ↓ (TRUE-rel)</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0.005</w:t>
            </w:r>
          </w:p>
        </w:tc>
        <w:tc>
          <w:tcPr>
            <w:tcW w:type="dxa" w:w="3009"/>
          </w:tcPr>
          <w:p>
            <w:pPr>
              <w:spacing w:after="0" w:before="0" w:line="240" w:lineRule="auto"/>
            </w:pPr>
            <w:r>
              <w:rPr>
                <w:rFonts w:ascii="Times New Roman" w:hAnsi="Times New Roman" w:eastAsia="Times New Roman" w:cs="Times New Roman"/>
                <w:b w:val="0"/>
                <w:i w:val="0"/>
                <w:color w:val="000000"/>
                <w:sz w:val="18"/>
              </w:rPr>
              <w:t>0.224</w:t>
            </w:r>
          </w:p>
        </w:tc>
        <w:tc>
          <w:tcPr>
            <w:tcW w:type="dxa" w:w="3009"/>
          </w:tcPr>
          <w:p>
            <w:pPr>
              <w:spacing w:after="0" w:before="0" w:line="240" w:lineRule="auto"/>
            </w:pPr>
            <w:r>
              <w:rPr>
                <w:rFonts w:ascii="Times New Roman" w:hAnsi="Times New Roman" w:eastAsia="Times New Roman" w:cs="Times New Roman"/>
                <w:b/>
                <w:i w:val="0"/>
                <w:color w:val="000000"/>
                <w:sz w:val="18"/>
              </w:rPr>
              <w:t>0.206</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0.01</w:t>
            </w:r>
          </w:p>
        </w:tc>
        <w:tc>
          <w:tcPr>
            <w:tcW w:type="dxa" w:w="3009"/>
          </w:tcPr>
          <w:p>
            <w:pPr>
              <w:spacing w:after="0" w:before="0" w:line="240" w:lineRule="auto"/>
            </w:pPr>
            <w:r>
              <w:rPr>
                <w:rFonts w:ascii="Times New Roman" w:hAnsi="Times New Roman" w:eastAsia="Times New Roman" w:cs="Times New Roman"/>
                <w:b w:val="0"/>
                <w:i w:val="0"/>
                <w:color w:val="000000"/>
                <w:sz w:val="18"/>
              </w:rPr>
              <w:t>0.215</w:t>
            </w:r>
          </w:p>
        </w:tc>
        <w:tc>
          <w:tcPr>
            <w:tcW w:type="dxa" w:w="3009"/>
          </w:tcPr>
          <w:p>
            <w:pPr>
              <w:spacing w:after="0" w:before="0" w:line="240" w:lineRule="auto"/>
            </w:pPr>
            <w:r>
              <w:rPr>
                <w:rFonts w:ascii="Times New Roman" w:hAnsi="Times New Roman" w:eastAsia="Times New Roman" w:cs="Times New Roman"/>
                <w:b/>
                <w:i w:val="0"/>
                <w:color w:val="000000"/>
                <w:sz w:val="18"/>
              </w:rPr>
              <w:t>0.205</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0.02</w:t>
            </w:r>
          </w:p>
        </w:tc>
        <w:tc>
          <w:tcPr>
            <w:tcW w:type="dxa" w:w="3009"/>
          </w:tcPr>
          <w:p>
            <w:pPr>
              <w:spacing w:after="0" w:before="0" w:line="240" w:lineRule="auto"/>
            </w:pPr>
            <w:r>
              <w:rPr>
                <w:rFonts w:ascii="Times New Roman" w:hAnsi="Times New Roman" w:eastAsia="Times New Roman" w:cs="Times New Roman"/>
                <w:b/>
                <w:i w:val="0"/>
                <w:color w:val="000000"/>
                <w:sz w:val="18"/>
              </w:rPr>
              <w:t>0.199</w:t>
            </w:r>
          </w:p>
        </w:tc>
        <w:tc>
          <w:tcPr>
            <w:tcW w:type="dxa" w:w="3009"/>
          </w:tcPr>
          <w:p>
            <w:pPr>
              <w:spacing w:after="0" w:before="0" w:line="240" w:lineRule="auto"/>
            </w:pPr>
            <w:r>
              <w:rPr>
                <w:rFonts w:ascii="Times New Roman" w:hAnsi="Times New Roman" w:eastAsia="Times New Roman" w:cs="Times New Roman"/>
                <w:b w:val="0"/>
                <w:i w:val="0"/>
                <w:color w:val="000000"/>
                <w:sz w:val="18"/>
              </w:rPr>
              <w:t>0.205</w:t>
            </w:r>
          </w:p>
        </w:tc>
      </w:tr>
      <w:tr>
        <w:tc>
          <w:tcPr>
            <w:tcW w:type="dxa" w:w="3009"/>
          </w:tcPr>
          <w:p>
            <w:pPr>
              <w:spacing w:after="0" w:before="0" w:line="240" w:lineRule="auto"/>
            </w:pPr>
            <w:r>
              <w:rPr>
                <w:rFonts w:ascii="Times New Roman" w:hAnsi="Times New Roman" w:eastAsia="Times New Roman" w:cs="Times New Roman"/>
                <w:b w:val="0"/>
                <w:i w:val="0"/>
                <w:color w:val="000000"/>
                <w:sz w:val="18"/>
              </w:rPr>
              <w:t>0.05</w:t>
            </w:r>
          </w:p>
        </w:tc>
        <w:tc>
          <w:tcPr>
            <w:tcW w:type="dxa" w:w="3009"/>
          </w:tcPr>
          <w:p>
            <w:pPr>
              <w:spacing w:after="0" w:before="0" w:line="240" w:lineRule="auto"/>
            </w:pPr>
            <w:r>
              <w:rPr>
                <w:rFonts w:ascii="Times New Roman" w:hAnsi="Times New Roman" w:eastAsia="Times New Roman" w:cs="Times New Roman"/>
                <w:b/>
                <w:i w:val="0"/>
                <w:color w:val="000000"/>
                <w:sz w:val="18"/>
              </w:rPr>
              <w:t>0.180</w:t>
            </w:r>
          </w:p>
        </w:tc>
        <w:tc>
          <w:tcPr>
            <w:tcW w:type="dxa" w:w="3009"/>
          </w:tcPr>
          <w:p>
            <w:pPr>
              <w:spacing w:after="0" w:before="0" w:line="240" w:lineRule="auto"/>
            </w:pPr>
            <w:r>
              <w:rPr>
                <w:rFonts w:ascii="Times New Roman" w:hAnsi="Times New Roman" w:eastAsia="Times New Roman" w:cs="Times New Roman"/>
                <w:b w:val="0"/>
                <w:i w:val="0"/>
                <w:color w:val="000000"/>
                <w:sz w:val="18"/>
              </w:rPr>
              <w:t>0.202</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Both columns are TRUE-relative and directly comparable per seed. Fusang's accuracy relative to FastTree2 improves monotonically with indel rate and crosses over: Fusang is significantly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at the two lowest rates (−8.9% at 0.005, Wilcoxon p=1.75×10⁻¹¹; −5.1% at 0.01, p=5.20×10⁻⁵), numerically better at 0.02 (+2.8%, p=0.0507, borderline; not significant at α=0.05) and clearly better at 0.05 (+10.9%, p=1.27×10⁻¹¹, Fusang better in 99/130 seeds) — calculated as (FT2_nRF − Fusang_nRF) / FT2_nRF × 100%, so negative values denote a Fusang deficit. The crossover lies between indel rate 0.01 and 0.02. All four rows use 130/130 valid seeds (no outlier exclusions). An independent pipeline-level validation under a separate simulation protocol is reported below.</w:t>
      </w:r>
    </w:p>
    <w:p>
      <w:pPr>
        <w:spacing w:after="120" w:line="360" w:lineRule="auto"/>
      </w:pPr>
      <w:r>
        <w:rPr>
          <w:rFonts w:ascii="Times New Roman" w:hAnsi="Times New Roman" w:eastAsia="Times New Roman" w:cs="Times New Roman"/>
          <w:b w:val="0"/>
          <w:i w:val="0"/>
          <w:color w:val="000000"/>
          <w:sz w:val="24"/>
        </w:rPr>
        <w:t>The Fusang advantage increases with indel rate across the tested range (0.005–0.05), changing sign between 0.01 and 0.02. At indel=0.05 Fusang achieves a 10.9% relative advantage (nRF 0.180 vs 0.202), whereas at 0.005 and 0.01 FastTree2 retains a significant advantage (8.9% and 5.1%). Real biological indel rates typically fall in the 0.01–0.05 range [27,28]; Fusang's advantage is therefore concentrated in the upper part of that range, and alignment-free inference should be preferred over MSA+ML only when indel density is high. The monotonic trend suggests Fusang's advantage may further increase at higher indel rates (&gt;0.05), though phylogenetic signal eventually degrades for all methods.</w:t>
      </w:r>
    </w:p>
    <w:p>
      <w:pPr>
        <w:keepNext/>
        <w:spacing w:before="200" w:after="120" w:line="276" w:lineRule="auto"/>
      </w:pPr>
      <w:r>
        <w:rPr>
          <w:rFonts w:ascii="Times New Roman" w:hAnsi="Times New Roman" w:eastAsia="Times New Roman" w:cs="Times New Roman"/>
          <w:b/>
          <w:i w:val="0"/>
          <w:color w:val="000000"/>
          <w:sz w:val="26"/>
        </w:rPr>
        <w:t>130-seed benchmark validates indel robustness advantage</w:t>
      </w:r>
    </w:p>
    <w:p>
      <w:pPr>
        <w:spacing w:after="120" w:line="360" w:lineRule="auto"/>
      </w:pPr>
      <w:r>
        <w:rPr>
          <w:rFonts w:ascii="Times New Roman" w:hAnsi="Times New Roman" w:eastAsia="Times New Roman" w:cs="Times New Roman"/>
          <w:b w:val="0"/>
          <w:i w:val="0"/>
          <w:color w:val="000000"/>
          <w:sz w:val="24"/>
        </w:rPr>
        <w:t xml:space="preserve">To rigorously assess the indel robustness, we conducted a </w:t>
      </w:r>
      <w:r>
        <w:rPr>
          <w:rFonts w:ascii="Times New Roman" w:hAnsi="Times New Roman" w:eastAsia="Times New Roman" w:cs="Times New Roman"/>
          <w:b/>
          <w:i w:val="0"/>
          <w:color w:val="000000"/>
          <w:sz w:val="24"/>
        </w:rPr>
        <w:t>130-seed benchmark</w:t>
      </w:r>
      <w:r>
        <w:rPr>
          <w:rFonts w:ascii="Times New Roman" w:hAnsi="Times New Roman" w:eastAsia="Times New Roman" w:cs="Times New Roman"/>
          <w:b w:val="0"/>
          <w:i w:val="0"/>
          <w:color w:val="000000"/>
          <w:sz w:val="24"/>
        </w:rPr>
        <w:t xml:space="preserve"> (n=200, L=500 bp, indel rate=0.02, k=5,gap2) with paired Wilcoxon signed-rank test (Figure 2, Supplementary Figure S4, Supplementary Table S4). All 130 target seeds (100–229) produced valid tree files, and none exceeded the pre-specified nRF&gt;0.3 outlier threshold, so the reported statistics use all 130 seeds without exclusion:</w:t>
      </w:r>
    </w:p>
    <w:p>
      <w:pPr>
        <w:pStyle w:val="ListBullet"/>
        <w:spacing w:after="60" w:line="360" w:lineRule="auto"/>
      </w:pPr>
      <w:r>
        <w:rPr>
          <w:rFonts w:ascii="Times New Roman" w:hAnsi="Times New Roman" w:eastAsia="Times New Roman" w:cs="Times New Roman"/>
          <w:b/>
          <w:i w:val="0"/>
          <w:color w:val="000000"/>
          <w:sz w:val="24"/>
        </w:rPr>
        <w:t>Overall (130 seeds, both methods evaluated against the simulated ground-truth tree)</w:t>
      </w:r>
      <w:r>
        <w:rPr>
          <w:rFonts w:ascii="Times New Roman" w:hAnsi="Times New Roman" w:eastAsia="Times New Roman" w:cs="Times New Roman"/>
          <w:b w:val="0"/>
          <w:i w:val="0"/>
          <w:color w:val="000000"/>
          <w:sz w:val="24"/>
        </w:rPr>
        <w:t>: Fusang nRF=0.199 ± 0.030 vs FastTree2 nRF=0.205 ± 0.030; paired Cohen's d=−0.20 [95% bootstrap CI: −0.37, −0.03]; Fusang lower nRF in 71/130 seeds (54.6%), FastTree2 lower in 53, 6 ties</w:t>
      </w:r>
    </w:p>
    <w:p>
      <w:pPr>
        <w:spacing w:after="120" w:line="360" w:lineRule="auto"/>
      </w:pPr>
      <w:r>
        <w:rPr>
          <w:rFonts w:ascii="Times New Roman" w:hAnsi="Times New Roman" w:eastAsia="Times New Roman" w:cs="Times New Roman"/>
          <w:b w:val="0"/>
          <w:i w:val="0"/>
          <w:color w:val="000000"/>
          <w:sz w:val="24"/>
        </w:rPr>
        <w:t>The 130-seed results show a directional advantage for Fusang that is weak and borderline (paired Wilcoxon p=0.0507 on integer RF counts with the zero-split convention; not significant at α=0.05). The bootstrap 95% confidence interval for Cohen's d excludes zero (95% CI for d = [−0.37, −0.03] in the Fusang − FastTree2 orientation), but |d|=0.20 is a small effect and the comparison does not survive Bonferroni correction across the six ground-truth datasets (α≈0.008); we therefore report it as borderline rather than decisive. This is substantially weaker than the p=1.9×10⁻⁷ with 88/130 wins reported in earlier versions of this manuscript, which were produced by a root-dependent nRF implementation (</w:t>
      </w:r>
      <w:r>
        <w:rPr>
          <w:rFonts w:ascii="Consolas" w:hAnsi="Consolas" w:eastAsia="Consolas" w:cs="Consolas"/>
          <w:b w:val="0"/>
          <w:i w:val="0"/>
          <w:color w:val="000000"/>
          <w:sz w:val="24"/>
        </w:rPr>
        <w:t>calc_nrf_simple.py</w:t>
      </w:r>
      <w:r>
        <w:rPr>
          <w:rFonts w:ascii="Times New Roman" w:hAnsi="Times New Roman" w:eastAsia="Times New Roman" w:cs="Times New Roman"/>
          <w:b w:val="0"/>
          <w:i w:val="0"/>
          <w:color w:val="000000"/>
          <w:sz w:val="24"/>
        </w:rPr>
        <w:t>) that systematically understated RF and biased comparisons in Fusang's favour and are withdrawn; under the root-independent definition now used throughout (see Methods), Fusang wins 71/130 seeds rather than 88/130. The direction of the conclusion is unchanged; its strength was previously overstated. (A separate earlier borderline result for this comparison — p=0.052 on 112 seeds — came from a legacy JC69 simulator with fixed branch lengths and is superseded by the present INDELible GTR+Γ birth–death protocol; see Supplementary Figure S6 for effect-size analyses across benchmarks.)</w:t>
      </w:r>
    </w:p>
    <w:p>
      <w:pPr>
        <w:spacing w:after="120" w:line="360" w:lineRule="auto"/>
      </w:pPr>
      <w:r>
        <w:rPr>
          <w:rFonts w:ascii="Times New Roman" w:hAnsi="Times New Roman" w:eastAsia="Times New Roman" w:cs="Times New Roman"/>
          <w:b w:val="0"/>
          <w:i w:val="0"/>
          <w:color w:val="000000"/>
          <w:sz w:val="24"/>
        </w:rPr>
        <w:t xml:space="preserve">The per-seed nRF distributions reveal that Fusang's standard deviation (σ=0.030) is comparable to FastTree2's (σ=0.030), indicating stable performance across replicates. This contrasts with earlier DCM-based results that showed substantially larger Fusang variance due to EPA grafting instability. Per-seed values are provided in </w:t>
      </w:r>
      <w:r>
        <w:rPr>
          <w:rFonts w:ascii="Consolas" w:hAnsi="Consolas" w:eastAsia="Consolas" w:cs="Consolas"/>
          <w:b w:val="0"/>
          <w:i w:val="0"/>
          <w:color w:val="000000"/>
          <w:sz w:val="24"/>
        </w:rPr>
        <w:t>indelible_n200_indel/bench_n200_indel_130seeds_nrfstandard.csv</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Multi-k distance ensemble matches the best single-k configuration and beats the default pipeline</w:t>
      </w:r>
    </w:p>
    <w:p>
      <w:pPr>
        <w:spacing w:after="120" w:line="360" w:lineRule="auto"/>
      </w:pPr>
      <w:r>
        <w:rPr>
          <w:rFonts w:ascii="Times New Roman" w:hAnsi="Times New Roman" w:eastAsia="Times New Roman" w:cs="Times New Roman"/>
          <w:b w:val="0"/>
          <w:i w:val="0"/>
          <w:color w:val="000000"/>
          <w:sz w:val="24"/>
        </w:rPr>
        <w:t>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(Table 4). Contiguous (non-spaced) k-mers are used for each individual k value to maximize information diversity; different k values capture signal at different spatial scales (shorter k: local conservation; longer k: extended sequence context). All configurations in Table 4 are evaluated on the same 130-seed INDELible benchmark (n=200, indel rate=0.02, seeds 100–229) and, except where noted, use neighbour-joining without NNI refinement so that distance-matrix effects are isolated from the tree-search refinement step.</w:t>
      </w:r>
    </w:p>
    <w:p>
      <w:pPr>
        <w:spacing w:after="120" w:line="360" w:lineRule="auto"/>
      </w:pPr>
      <w:r>
        <w:rPr>
          <w:rFonts w:ascii="Times New Roman" w:hAnsi="Times New Roman" w:eastAsia="Times New Roman" w:cs="Times New Roman"/>
          <w:b/>
          <w:i w:val="0"/>
          <w:color w:val="000000"/>
          <w:sz w:val="24"/>
        </w:rPr>
        <w:t>Table 4. Multi-k ensemble vs single-k configuration (n=200, indel rate=0.02, 130 seeds 100–229, INDELible). All nRF values are TRUE-relative (vs the simulated ground-truth tree).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k-mer Config</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Ensemble wins / 130</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k=7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k=7, no gap</w:t>
            </w:r>
          </w:p>
        </w:tc>
        <w:tc>
          <w:tcPr>
            <w:tcW w:type="dxa" w:w="1805"/>
          </w:tcPr>
          <w:p>
            <w:pPr>
              <w:spacing w:after="0" w:before="0" w:line="240" w:lineRule="auto"/>
            </w:pPr>
            <w:r>
              <w:rPr>
                <w:rFonts w:ascii="Times New Roman" w:hAnsi="Times New Roman" w:eastAsia="Times New Roman" w:cs="Times New Roman"/>
                <w:b/>
                <w:i w:val="0"/>
                <w:color w:val="000000"/>
                <w:sz w:val="18"/>
              </w:rPr>
              <w:t>0.1938</w:t>
            </w:r>
          </w:p>
        </w:tc>
        <w:tc>
          <w:tcPr>
            <w:tcW w:type="dxa" w:w="1805"/>
          </w:tcPr>
          <w:p>
            <w:pPr>
              <w:spacing w:after="0" w:before="0" w:line="240" w:lineRule="auto"/>
            </w:pPr>
            <w:r>
              <w:rPr>
                <w:rFonts w:ascii="Times New Roman" w:hAnsi="Times New Roman" w:eastAsia="Times New Roman" w:cs="Times New Roman"/>
                <w:b w:val="0"/>
                <w:i w:val="0"/>
                <w:color w:val="000000"/>
                <w:sz w:val="18"/>
              </w:rPr>
              <w:t>0.0295</w:t>
            </w:r>
          </w:p>
        </w:tc>
        <w:tc>
          <w:tcPr>
            <w:tcW w:type="dxa" w:w="1805"/>
          </w:tcPr>
          <w:p>
            <w:pPr>
              <w:spacing w:after="0" w:before="0" w:line="240" w:lineRule="auto"/>
            </w:pPr>
            <w:r>
              <w:rPr>
                <w:rFonts w:ascii="Times New Roman" w:hAnsi="Times New Roman" w:eastAsia="Times New Roman" w:cs="Times New Roman"/>
                <w:b w:val="0"/>
                <w:i w:val="0"/>
                <w:color w:val="000000"/>
                <w:sz w:val="18"/>
              </w:rPr>
              <w:t>48/130 (n.s., p=0.669)</w:t>
            </w:r>
          </w:p>
        </w:tc>
      </w:tr>
      <w:tr>
        <w:tc>
          <w:tcPr>
            <w:tcW w:type="dxa" w:w="1805"/>
          </w:tcPr>
          <w:p>
            <w:pPr>
              <w:spacing w:after="0" w:before="0" w:line="240" w:lineRule="auto"/>
            </w:pPr>
            <w:r>
              <w:rPr>
                <w:rFonts w:ascii="Times New Roman" w:hAnsi="Times New Roman" w:eastAsia="Times New Roman" w:cs="Times New Roman"/>
                <w:b/>
                <w:i w:val="0"/>
                <w:color w:val="000000"/>
                <w:sz w:val="18"/>
              </w:rPr>
              <w:t>Multi-k ensemble</w:t>
            </w:r>
          </w:p>
        </w:tc>
        <w:tc>
          <w:tcPr>
            <w:tcW w:type="dxa" w:w="1805"/>
          </w:tcPr>
          <w:p>
            <w:pPr>
              <w:spacing w:after="0" w:before="0" w:line="240" w:lineRule="auto"/>
            </w:pPr>
            <w:r>
              <w:rPr>
                <w:rFonts w:ascii="Times New Roman" w:hAnsi="Times New Roman" w:eastAsia="Times New Roman" w:cs="Times New Roman"/>
                <w:b/>
                <w:i w:val="0"/>
                <w:color w:val="000000"/>
                <w:sz w:val="18"/>
              </w:rPr>
              <w:t>avg(k=5,7,9), contiguous</w:t>
            </w:r>
          </w:p>
        </w:tc>
        <w:tc>
          <w:tcPr>
            <w:tcW w:type="dxa" w:w="1805"/>
          </w:tcPr>
          <w:p>
            <w:pPr>
              <w:spacing w:after="0" w:before="0" w:line="240" w:lineRule="auto"/>
            </w:pPr>
            <w:r>
              <w:rPr>
                <w:rFonts w:ascii="Times New Roman" w:hAnsi="Times New Roman" w:eastAsia="Times New Roman" w:cs="Times New Roman"/>
                <w:b/>
                <w:i w:val="0"/>
                <w:color w:val="000000"/>
                <w:sz w:val="18"/>
              </w:rPr>
              <w:t>0.1940</w:t>
            </w:r>
          </w:p>
        </w:tc>
        <w:tc>
          <w:tcPr>
            <w:tcW w:type="dxa" w:w="1805"/>
          </w:tcPr>
          <w:p>
            <w:pPr>
              <w:spacing w:after="0" w:before="0" w:line="240" w:lineRule="auto"/>
            </w:pPr>
            <w:r>
              <w:rPr>
                <w:rFonts w:ascii="Times New Roman" w:hAnsi="Times New Roman" w:eastAsia="Times New Roman" w:cs="Times New Roman"/>
                <w:b/>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w:t>
            </w:r>
          </w:p>
        </w:tc>
      </w:tr>
      <w:tr>
        <w:tc>
          <w:tcPr>
            <w:tcW w:type="dxa" w:w="1805"/>
          </w:tcPr>
          <w:p>
            <w:pPr>
              <w:spacing w:after="0" w:before="0" w:line="240" w:lineRule="auto"/>
            </w:pPr>
            <w:r>
              <w:rPr>
                <w:rFonts w:ascii="Times New Roman" w:hAnsi="Times New Roman" w:eastAsia="Times New Roman" w:cs="Times New Roman"/>
                <w:b w:val="0"/>
                <w:i w:val="0"/>
                <w:color w:val="000000"/>
                <w:sz w:val="18"/>
              </w:rPr>
              <w:t>Fusang k=5,gap2 (full pipeline)</w:t>
            </w:r>
          </w:p>
        </w:tc>
        <w:tc>
          <w:tcPr>
            <w:tcW w:type="dxa" w:w="1805"/>
          </w:tcPr>
          <w:p>
            <w:pPr>
              <w:spacing w:after="0" w:before="0" w:line="240" w:lineRule="auto"/>
            </w:pPr>
            <w:r>
              <w:rPr>
                <w:rFonts w:ascii="Times New Roman" w:hAnsi="Times New Roman" w:eastAsia="Times New Roman" w:cs="Times New Roman"/>
                <w:b w:val="0"/>
                <w:i w:val="0"/>
                <w:color w:val="000000"/>
                <w:sz w:val="18"/>
              </w:rPr>
              <w:t>spaced + BME-NNI</w:t>
            </w:r>
          </w:p>
        </w:tc>
        <w:tc>
          <w:tcPr>
            <w:tcW w:type="dxa" w:w="1805"/>
          </w:tcPr>
          <w:p>
            <w:pPr>
              <w:spacing w:after="0" w:before="0" w:line="240" w:lineRule="auto"/>
            </w:pPr>
            <w:r>
              <w:rPr>
                <w:rFonts w:ascii="Times New Roman" w:hAnsi="Times New Roman" w:eastAsia="Times New Roman" w:cs="Times New Roman"/>
                <w:b w:val="0"/>
                <w:i w:val="0"/>
                <w:color w:val="000000"/>
                <w:sz w:val="18"/>
              </w:rPr>
              <w:t>0.1990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72/130</w:t>
            </w:r>
            <w:r>
              <w:rPr>
                <w:rFonts w:ascii="Times New Roman" w:hAnsi="Times New Roman" w:eastAsia="Times New Roman" w:cs="Times New Roman"/>
                <w:b w:val="0"/>
                <w:i w:val="0"/>
                <w:color w:val="000000"/>
                <w:sz w:val="18"/>
              </w:rPr>
              <w:t xml:space="preserve"> (p=0.0077)</w:t>
            </w:r>
          </w:p>
        </w:tc>
      </w:tr>
      <w:tr>
        <w:tc>
          <w:tcPr>
            <w:tcW w:type="dxa" w:w="1805"/>
          </w:tcPr>
          <w:p>
            <w:pPr>
              <w:spacing w:after="0" w:before="0" w:line="240" w:lineRule="auto"/>
            </w:pPr>
            <w:r>
              <w:rPr>
                <w:rFonts w:ascii="Times New Roman" w:hAnsi="Times New Roman" w:eastAsia="Times New Roman" w:cs="Times New Roman"/>
                <w:b w:val="0"/>
                <w:i w:val="0"/>
                <w:color w:val="000000"/>
                <w:sz w:val="18"/>
              </w:rPr>
              <w:t>Fusang k=5,gap2 (spaced, NJ only)</w:t>
            </w:r>
          </w:p>
        </w:tc>
        <w:tc>
          <w:tcPr>
            <w:tcW w:type="dxa" w:w="1805"/>
          </w:tcPr>
          <w:p>
            <w:pPr>
              <w:spacing w:after="0" w:before="0" w:line="240" w:lineRule="auto"/>
            </w:pPr>
            <w:r>
              <w:rPr>
                <w:rFonts w:ascii="Times New Roman" w:hAnsi="Times New Roman" w:eastAsia="Times New Roman" w:cs="Times New Roman"/>
                <w:b w:val="0"/>
                <w:i w:val="0"/>
                <w:color w:val="000000"/>
                <w:sz w:val="18"/>
              </w:rPr>
              <w:t xml:space="preserve">k=5, gap2 → </w:t>
            </w:r>
            <w:r>
              <w:rPr>
                <w:rFonts w:ascii="Consolas" w:hAnsi="Consolas" w:eastAsia="Consolas" w:cs="Consolas"/>
                <w:b w:val="0"/>
                <w:i w:val="0"/>
                <w:color w:val="000000"/>
                <w:sz w:val="18"/>
              </w:rPr>
              <w:t>1110011</w:t>
            </w:r>
            <w:r>
              <w:rPr>
                <w:rFonts w:ascii="Times New Roman" w:hAnsi="Times New Roman" w:eastAsia="Times New Roman" w:cs="Times New Roman"/>
                <w:b w:val="0"/>
                <w:i w:val="0"/>
                <w:color w:val="000000"/>
                <w:sz w:val="18"/>
              </w:rPr>
              <w:t>; no NNI</w:t>
            </w:r>
          </w:p>
        </w:tc>
        <w:tc>
          <w:tcPr>
            <w:tcW w:type="dxa" w:w="1805"/>
          </w:tcPr>
          <w:p>
            <w:pPr>
              <w:spacing w:after="0" w:before="0" w:line="240" w:lineRule="auto"/>
            </w:pPr>
            <w:r>
              <w:rPr>
                <w:rFonts w:ascii="Times New Roman" w:hAnsi="Times New Roman" w:eastAsia="Times New Roman" w:cs="Times New Roman"/>
                <w:b w:val="0"/>
                <w:i w:val="0"/>
                <w:color w:val="000000"/>
                <w:sz w:val="18"/>
              </w:rPr>
              <w:t>0.2003</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74/130</w:t>
            </w:r>
            <w:r>
              <w:rPr>
                <w:rFonts w:ascii="Times New Roman" w:hAnsi="Times New Roman" w:eastAsia="Times New Roman" w:cs="Times New Roman"/>
                <w:b w:val="0"/>
                <w:i w:val="0"/>
                <w:color w:val="000000"/>
                <w:sz w:val="18"/>
              </w:rPr>
              <w:t xml:space="preserve"> (p=1.16×10⁻³)</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k=9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k=9, no gap</w:t>
            </w:r>
          </w:p>
        </w:tc>
        <w:tc>
          <w:tcPr>
            <w:tcW w:type="dxa" w:w="1805"/>
          </w:tcPr>
          <w:p>
            <w:pPr>
              <w:spacing w:after="0" w:before="0" w:line="240" w:lineRule="auto"/>
            </w:pPr>
            <w:r>
              <w:rPr>
                <w:rFonts w:ascii="Times New Roman" w:hAnsi="Times New Roman" w:eastAsia="Times New Roman" w:cs="Times New Roman"/>
                <w:b w:val="0"/>
                <w:i w:val="0"/>
                <w:color w:val="000000"/>
                <w:sz w:val="18"/>
              </w:rPr>
              <w:t>0.2005</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i w:val="0"/>
                <w:color w:val="000000"/>
                <w:sz w:val="18"/>
              </w:rPr>
              <w:t>81/130</w:t>
            </w:r>
            <w:r>
              <w:rPr>
                <w:rFonts w:ascii="Times New Roman" w:hAnsi="Times New Roman" w:eastAsia="Times New Roman" w:cs="Times New Roman"/>
                <w:b w:val="0"/>
                <w:i w:val="0"/>
                <w:color w:val="000000"/>
                <w:sz w:val="18"/>
              </w:rPr>
              <w:t xml:space="preserve"> (p=9.04×10⁻⁸)</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k=5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k=5, no gap</w:t>
            </w:r>
          </w:p>
        </w:tc>
        <w:tc>
          <w:tcPr>
            <w:tcW w:type="dxa" w:w="1805"/>
          </w:tcPr>
          <w:p>
            <w:pPr>
              <w:spacing w:after="0" w:before="0" w:line="240" w:lineRule="auto"/>
            </w:pPr>
            <w:r>
              <w:rPr>
                <w:rFonts w:ascii="Times New Roman" w:hAnsi="Times New Roman" w:eastAsia="Times New Roman" w:cs="Times New Roman"/>
                <w:b w:val="0"/>
                <w:i w:val="0"/>
                <w:color w:val="000000"/>
                <w:sz w:val="18"/>
              </w:rPr>
              <w:t>0.2078</w:t>
            </w:r>
          </w:p>
        </w:tc>
        <w:tc>
          <w:tcPr>
            <w:tcW w:type="dxa" w:w="1805"/>
          </w:tcPr>
          <w:p>
            <w:pPr>
              <w:spacing w:after="0" w:before="0" w:line="240" w:lineRule="auto"/>
            </w:pPr>
            <w:r>
              <w:rPr>
                <w:rFonts w:ascii="Times New Roman" w:hAnsi="Times New Roman" w:eastAsia="Times New Roman" w:cs="Times New Roman"/>
                <w:b w:val="0"/>
                <w:i w:val="0"/>
                <w:color w:val="000000"/>
                <w:sz w:val="18"/>
              </w:rPr>
              <w:t>0.0314</w:t>
            </w:r>
          </w:p>
        </w:tc>
        <w:tc>
          <w:tcPr>
            <w:tcW w:type="dxa" w:w="1805"/>
          </w:tcPr>
          <w:p>
            <w:pPr>
              <w:spacing w:after="0" w:before="0" w:line="240" w:lineRule="auto"/>
            </w:pPr>
            <w:r>
              <w:rPr>
                <w:rFonts w:ascii="Times New Roman" w:hAnsi="Times New Roman" w:eastAsia="Times New Roman" w:cs="Times New Roman"/>
                <w:b/>
                <w:i w:val="0"/>
                <w:color w:val="000000"/>
                <w:sz w:val="18"/>
              </w:rPr>
              <w:t>93/130</w:t>
            </w:r>
            <w:r>
              <w:rPr>
                <w:rFonts w:ascii="Times New Roman" w:hAnsi="Times New Roman" w:eastAsia="Times New Roman" w:cs="Times New Roman"/>
                <w:b w:val="0"/>
                <w:i w:val="0"/>
                <w:color w:val="000000"/>
                <w:sz w:val="18"/>
              </w:rPr>
              <w:t xml:space="preserve"> (p=2.68×10⁻¹²)</w:t>
            </w:r>
          </w:p>
        </w:tc>
      </w:tr>
    </w:tbl>
    <w:p>
      <w:pPr>
        <w:spacing w:after="0"/>
      </w:pPr>
    </w:p>
    <w:p>
      <w:pPr>
        <w:spacing w:after="120" w:line="360" w:lineRule="auto"/>
      </w:pPr>
      <w:r>
        <w:rPr>
          <w:rFonts w:ascii="Times New Roman" w:hAnsi="Times New Roman" w:eastAsia="Times New Roman" w:cs="Times New Roman"/>
          <w:b w:val="0"/>
          <w:i w:val="0"/>
          <w:color w:val="000000"/>
          <w:sz w:val="24"/>
        </w:rPr>
        <w:t>nRF=0: perfect match. All values are TRUE-relative (see caption). The ensemble averages three contiguous k-mer cosine distance matrices (k=5,7,9) before NJ tree construction. All rows except the full-pipeline row use NJ without NNI refinement; the full-pipeline row is the Fusang CLI product (NJ plus BME-scored NNI). "Ensemble wins / 130" is the number of seeds on which the ensemble attained the lower nRF against that row's method; the paired Wilcoxon p-value (zsplit, two-sided) for the same contrast is given in brackets, and where the counts and the p-value appear to disagree the paired-comparison list in the text is authoritative.</w:t>
      </w:r>
    </w:p>
    <w:p>
      <w:pPr>
        <w:spacing w:after="120" w:line="360" w:lineRule="auto"/>
      </w:pPr>
      <w:r>
        <w:rPr>
          <w:rFonts w:ascii="Times New Roman" w:hAnsi="Times New Roman" w:eastAsia="Times New Roman" w:cs="Times New Roman"/>
          <w:b/>
          <w:i w:val="0"/>
          <w:color w:val="000000"/>
          <w:sz w:val="24"/>
        </w:rPr>
        <w:t>Paired comparison: Multi-k ensemble vs single-k components (130 seeds, TRUE-relative)</w:t>
      </w:r>
      <w:r>
        <w:rPr>
          <w:rFonts w:ascii="Times New Roman" w:hAnsi="Times New Roman" w:eastAsia="Times New Roman" w:cs="Times New Roman"/>
          <w:b w:val="0"/>
          <w:i w:val="0"/>
          <w:color w:val="000000"/>
          <w:sz w:val="24"/>
        </w:rPr>
        <w:t>:</w:t>
      </w:r>
    </w:p>
    <w:p>
      <w:pPr>
        <w:pStyle w:val="ListBullet"/>
        <w:spacing w:after="60" w:line="360" w:lineRule="auto"/>
      </w:pPr>
      <w:r>
        <w:rPr>
          <w:rFonts w:ascii="Times New Roman" w:hAnsi="Times New Roman" w:eastAsia="Times New Roman" w:cs="Times New Roman"/>
          <w:b w:val="0"/>
          <w:i w:val="0"/>
          <w:color w:val="000000"/>
          <w:sz w:val="24"/>
        </w:rPr>
        <w:t>The ensemble (nRF=0.1940) significantly outperforms contiguous k=5 (0.2078; ensemble better in 93/130 seeds, k=5 better in 24, 13 ties, Wilcoxon p=2.68×10⁻¹², paired d=0.755).</w:t>
      </w:r>
    </w:p>
    <w:p>
      <w:pPr>
        <w:pStyle w:val="ListBullet"/>
        <w:spacing w:after="60" w:line="360" w:lineRule="auto"/>
      </w:pPr>
      <w:r>
        <w:rPr>
          <w:rFonts w:ascii="Times New Roman" w:hAnsi="Times New Roman" w:eastAsia="Times New Roman" w:cs="Times New Roman"/>
          <w:b w:val="0"/>
          <w:i w:val="0"/>
          <w:color w:val="000000"/>
          <w:sz w:val="24"/>
        </w:rPr>
        <w:t>The ensemble is statistically indistinguishable from the best single-k configuration, contiguous k=7 (0.1938; ensemble better in 48, k=7 better in 51, 31 ties, p=0.669 on integer RF counts, d=0.020) — if anything k=7 is marginally ahead, but the difference is far from significant.</w:t>
      </w:r>
    </w:p>
    <w:p>
      <w:pPr>
        <w:pStyle w:val="ListBullet"/>
        <w:spacing w:after="60" w:line="360" w:lineRule="auto"/>
      </w:pPr>
      <w:r>
        <w:rPr>
          <w:rFonts w:ascii="Times New Roman" w:hAnsi="Times New Roman" w:eastAsia="Times New Roman" w:cs="Times New Roman"/>
          <w:b w:val="0"/>
          <w:i w:val="0"/>
          <w:color w:val="000000"/>
          <w:sz w:val="24"/>
        </w:rPr>
        <w:t>The ensemble significantly outperforms contiguous k=9 (0.2005; ensemble better in 81, k=9 better in 32, 17 ties, p=9.04×10⁻⁸, d=0.517).</w:t>
      </w:r>
    </w:p>
    <w:p>
      <w:pPr>
        <w:pStyle w:val="ListBullet"/>
        <w:spacing w:after="60" w:line="360" w:lineRule="auto"/>
      </w:pPr>
      <w:r>
        <w:rPr>
          <w:rFonts w:ascii="Times New Roman" w:hAnsi="Times New Roman" w:eastAsia="Times New Roman" w:cs="Times New Roman"/>
          <w:b w:val="0"/>
          <w:i w:val="0"/>
          <w:color w:val="000000"/>
          <w:sz w:val="24"/>
        </w:rPr>
        <w:t>Against the spaced k=5,gap2 configuration under the same NJ-only protocol, the ensemble is significantly better (0.1940 vs 0.2003; ensemble better in 74, spaced NJ-only better in 41, 15 ties, p=1.16×10⁻³, d=0.317). This comparison mixes two changes (multi-k fusion and contiguous-vs-spaced patterns); the like-for-like single-k spaced-vs-contiguous comparison (Table 7, Finding 3) shows the spaced pattern itself is significantly better at k=5 (0.2003 vs 0.2078, p=5.54×10⁻⁴).</w:t>
      </w:r>
    </w:p>
    <w:p>
      <w:pPr>
        <w:pStyle w:val="ListBullet"/>
        <w:spacing w:after="60" w:line="360" w:lineRule="auto"/>
      </w:pPr>
      <w:r>
        <w:rPr>
          <w:rFonts w:ascii="Times New Roman" w:hAnsi="Times New Roman" w:eastAsia="Times New Roman" w:cs="Times New Roman"/>
          <w:b/>
          <w:i w:val="0"/>
          <w:color w:val="000000"/>
          <w:sz w:val="24"/>
        </w:rPr>
        <w:t>The ensemble significantly outperforms the full Fusang pipeline</w:t>
      </w:r>
      <w:r>
        <w:rPr>
          <w:rFonts w:ascii="Times New Roman" w:hAnsi="Times New Roman" w:eastAsia="Times New Roman" w:cs="Times New Roman"/>
          <w:b w:val="0"/>
          <w:i w:val="0"/>
          <w:color w:val="000000"/>
          <w:sz w:val="24"/>
        </w:rPr>
        <w:t xml:space="preserve"> (spaced + BME-NNI, 0.1990; ensemble better in 72/130 seeds, pipeline better in 46, 12 ties, p=0.0077, d=0.246). This reverses the ordering reported in earlier versions of this manuscript, which had the full pipeline significantly ahead of the ensemble (p=8.1×10⁻⁵, d=0.37) under the superseded nRF implementation; that claim is withdrawn.</w:t>
      </w:r>
    </w:p>
    <w:p>
      <w:pPr>
        <w:spacing w:after="120" w:line="360" w:lineRule="auto"/>
      </w:pPr>
      <w:r>
        <w:rPr>
          <w:rFonts w:ascii="Times New Roman" w:hAnsi="Times New Roman" w:eastAsia="Times New Roman" w:cs="Times New Roman"/>
          <w:b w:val="0"/>
          <w:i w:val="0"/>
          <w:color w:val="000000"/>
          <w:sz w:val="24"/>
        </w:rPr>
        <w:t>This result demonstrates that distance matrix fusion across multiple contiguous k-mer resolutions is, at L=500 bp, the most accurate configuration we tested rather than merely a robust fallback: the ensemble is statistically tied with the best single-k member (k=7) and significantly better than every other configuration in Table 4, including the default Fusang pipeline, while not requiring users to pre-select the optimal k value for their dataset (per-seed data: Supplementary Figure S7, Supplementary Table S9). The margin over the default pipeline is small (0.0050 nRF, paired d=0.246, 72/130 wins), so we present the ensemble and contiguous k=7 as the recommended configurations at this scale and the default spaced+NNI pipeline as a robust choice that is nonetheless not the most accurate one here. The ensemble is implemented as a standalone script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that averages the k=5/7/9 contiguous cosine distance matrices before NJ tree construction. Its remaining established benefits are the single-k→multi-k gain under the L=1000 bp protocol (Table 5) and the automatic rescue of the saturating gene-scale default at genome scale (see Real genome benchmarks below).</w:t>
      </w:r>
    </w:p>
    <w:p>
      <w:pPr>
        <w:keepNext/>
        <w:spacing w:before="200" w:after="120" w:line="276" w:lineRule="auto"/>
      </w:pPr>
      <w:r>
        <w:rPr>
          <w:rFonts w:ascii="Times New Roman" w:hAnsi="Times New Roman" w:eastAsia="Times New Roman" w:cs="Times New Roman"/>
          <w:b/>
          <w:i w:val="0"/>
          <w:color w:val="000000"/>
          <w:sz w:val="26"/>
        </w:rPr>
        <w:t>Multi-k NJ: comparison with MSA+ML</w:t>
      </w:r>
    </w:p>
    <w:p>
      <w:pPr>
        <w:spacing w:after="120" w:line="360" w:lineRule="auto"/>
      </w:pPr>
      <w:r>
        <w:rPr>
          <w:rFonts w:ascii="Times New Roman" w:hAnsi="Times New Roman" w:eastAsia="Times New Roman" w:cs="Times New Roman"/>
          <w:b w:val="0"/>
          <w:i w:val="0"/>
          <w:color w:val="000000"/>
          <w:sz w:val="24"/>
        </w:rPr>
        <w:t xml:space="preserve">To determine whether the multi-k ensemble's improvement translates to MSA+ML-level accuracy, we conducted a pipeline-level validation against the true simulated tree (n=200, L=1000 bp, sub=0.05, indel=0.02, 30 seeds, seeds 300–329). The datasets for this benchmark were regenerated with INDELible v1.03 under the same stated protocol, superseding data from an earlier hand-written coalescent simulator (see the provenance note to Table 5). We compared three levels of the Fusang multi-layer pipeline (Table 5): Level 0 (L0: single k-mer k=5,gap2 cosine + NJ), Level 1 (L1: multi-k k=5,7,9 contiguous cosine average + NJ), and Level 3 (L3: MAFFT v7 alignment + FastTree2 GTR+CAT, nucleotide mode). All 30 seeds completed for every level; the L3 level was executed on Linux (WSL2 Ubuntu-24.04, MAFFT --auto + FastTree2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replacing an earlier 5-seed Windows run whose MAFFT instability had limited the comparison (see Supplementary Note S8 for the protocol correction and limitation analysis). The pipeline-level benchmark uses L=1000 bp rather than the L=500 bp of Tables 1 and 3: the coalescent protocol was fixed during multi-layer pipeline development — before the L1-vs-L3 comparison was designed — with L=1000 bp chosen so that the k=9 member of the multi-k set has non-sparse frequency vectors at n=200. The protocol was identical for the superseded 5-seed run and the full 30-seed rerun, and all levels (L0, L1, L3) are compared within this single protocol, so level comparisons are internally fair.</w:t>
      </w:r>
    </w:p>
    <w:p>
      <w:pPr>
        <w:spacing w:after="120" w:line="360" w:lineRule="auto"/>
      </w:pPr>
      <w:r>
        <w:rPr>
          <w:rFonts w:ascii="Times New Roman" w:hAnsi="Times New Roman" w:eastAsia="Times New Roman" w:cs="Times New Roman"/>
          <w:b/>
          <w:i w:val="0"/>
          <w:color w:val="000000"/>
          <w:sz w:val="24"/>
        </w:rPr>
        <w:t>Table 5. Pipeline-level validation against true tree (n=200, L=1000 bp, sub=0.05, indel=0.02, 30 seeds, seeds 300–329, all levels complete). All nRF values are TRUE-relative (vs simulated ground truth) under the standard root-independent unrooted RF. Note: this benchmark uses a simulation protocol with L=1000 bp, independent of the guide-tree protocol used in Tables 1 and 3 (L=500 bp); absolute nRF values are not directly comparable across benchmarks. Per-seed data: Supplementary Table S13.</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0" w:before="0" w:line="240" w:lineRule="auto"/>
            </w:pPr>
            <w:r>
              <w:rPr>
                <w:rFonts w:ascii="Times New Roman" w:hAnsi="Times New Roman" w:eastAsia="Times New Roman" w:cs="Times New Roman"/>
                <w:b/>
                <w:i w:val="0"/>
                <w:color w:val="000000"/>
                <w:sz w:val="18"/>
              </w:rPr>
              <w:t>Level</w:t>
            </w:r>
          </w:p>
        </w:tc>
        <w:tc>
          <w:tcPr>
            <w:tcW w:type="dxa" w:w="1504"/>
          </w:tcPr>
          <w:p>
            <w:pPr>
              <w:spacing w:after="0" w:before="0" w:line="240" w:lineRule="auto"/>
            </w:pPr>
            <w:r>
              <w:rPr>
                <w:rFonts w:ascii="Times New Roman" w:hAnsi="Times New Roman" w:eastAsia="Times New Roman" w:cs="Times New Roman"/>
                <w:b/>
                <w:i w:val="0"/>
                <w:color w:val="000000"/>
                <w:sz w:val="18"/>
              </w:rPr>
              <w:t>Method</w:t>
            </w:r>
          </w:p>
        </w:tc>
        <w:tc>
          <w:tcPr>
            <w:tcW w:type="dxa" w:w="1504"/>
          </w:tcPr>
          <w:p>
            <w:pPr>
              <w:spacing w:after="0" w:before="0" w:line="240" w:lineRule="auto"/>
            </w:pPr>
            <w:r>
              <w:rPr>
                <w:rFonts w:ascii="Times New Roman" w:hAnsi="Times New Roman" w:eastAsia="Times New Roman" w:cs="Times New Roman"/>
                <w:b/>
                <w:i w:val="0"/>
                <w:color w:val="000000"/>
                <w:sz w:val="18"/>
              </w:rPr>
              <w:t>Mean nRF ↓</w:t>
            </w:r>
          </w:p>
        </w:tc>
        <w:tc>
          <w:tcPr>
            <w:tcW w:type="dxa" w:w="1504"/>
          </w:tcPr>
          <w:p>
            <w:pPr>
              <w:spacing w:after="0" w:before="0" w:line="240" w:lineRule="auto"/>
            </w:pPr>
            <w:r>
              <w:rPr>
                <w:rFonts w:ascii="Times New Roman" w:hAnsi="Times New Roman" w:eastAsia="Times New Roman" w:cs="Times New Roman"/>
                <w:b/>
                <w:i w:val="0"/>
                <w:color w:val="000000"/>
                <w:sz w:val="18"/>
              </w:rPr>
              <w:t>Std Dev</w:t>
            </w:r>
          </w:p>
        </w:tc>
        <w:tc>
          <w:tcPr>
            <w:tcW w:type="dxa" w:w="1504"/>
          </w:tcPr>
          <w:p>
            <w:pPr>
              <w:spacing w:after="0" w:before="0" w:line="240" w:lineRule="auto"/>
            </w:pPr>
            <w:r>
              <w:rPr>
                <w:rFonts w:ascii="Times New Roman" w:hAnsi="Times New Roman" w:eastAsia="Times New Roman" w:cs="Times New Roman"/>
                <w:b/>
                <w:i w:val="0"/>
                <w:color w:val="000000"/>
                <w:sz w:val="18"/>
              </w:rPr>
              <w:t>n</w:t>
            </w:r>
          </w:p>
        </w:tc>
        <w:tc>
          <w:tcPr>
            <w:tcW w:type="dxa" w:w="1504"/>
          </w:tcPr>
          <w:p>
            <w:pPr>
              <w:spacing w:after="0" w:before="0" w:line="240" w:lineRule="auto"/>
            </w:pPr>
            <w:r>
              <w:rPr>
                <w:rFonts w:ascii="Times New Roman" w:hAnsi="Times New Roman" w:eastAsia="Times New Roman" w:cs="Times New Roman"/>
                <w:b/>
                <w:i w:val="0"/>
                <w:color w:val="000000"/>
                <w:sz w:val="18"/>
              </w:rPr>
              <w:t>vs L0 Wilcoxon p ¹</w:t>
            </w:r>
          </w:p>
        </w:tc>
      </w:tr>
      <w:tr>
        <w:tc>
          <w:tcPr>
            <w:tcW w:type="dxa" w:w="1504"/>
          </w:tcPr>
          <w:p>
            <w:pPr>
              <w:spacing w:after="0" w:before="0" w:line="240" w:lineRule="auto"/>
            </w:pPr>
            <w:r>
              <w:rPr>
                <w:rFonts w:ascii="Times New Roman" w:hAnsi="Times New Roman" w:eastAsia="Times New Roman" w:cs="Times New Roman"/>
                <w:b w:val="0"/>
                <w:i w:val="0"/>
                <w:color w:val="000000"/>
                <w:sz w:val="18"/>
              </w:rPr>
              <w:t>L0</w:t>
            </w:r>
          </w:p>
        </w:tc>
        <w:tc>
          <w:tcPr>
            <w:tcW w:type="dxa" w:w="1504"/>
          </w:tcPr>
          <w:p>
            <w:pPr>
              <w:spacing w:after="0" w:before="0" w:line="240" w:lineRule="auto"/>
            </w:pPr>
            <w:r>
              <w:rPr>
                <w:rFonts w:ascii="Times New Roman" w:hAnsi="Times New Roman" w:eastAsia="Times New Roman" w:cs="Times New Roman"/>
                <w:b w:val="0"/>
                <w:i w:val="0"/>
                <w:color w:val="000000"/>
                <w:sz w:val="18"/>
              </w:rPr>
              <w:t>k-mer k=5,gap2 NJ</w:t>
            </w:r>
          </w:p>
        </w:tc>
        <w:tc>
          <w:tcPr>
            <w:tcW w:type="dxa" w:w="1504"/>
          </w:tcPr>
          <w:p>
            <w:pPr>
              <w:spacing w:after="0" w:before="0" w:line="240" w:lineRule="auto"/>
            </w:pPr>
            <w:r>
              <w:rPr>
                <w:rFonts w:ascii="Times New Roman" w:hAnsi="Times New Roman" w:eastAsia="Times New Roman" w:cs="Times New Roman"/>
                <w:b w:val="0"/>
                <w:i w:val="0"/>
                <w:color w:val="000000"/>
                <w:sz w:val="18"/>
              </w:rPr>
              <w:t>0.150</w:t>
            </w:r>
          </w:p>
        </w:tc>
        <w:tc>
          <w:tcPr>
            <w:tcW w:type="dxa" w:w="1504"/>
          </w:tcPr>
          <w:p>
            <w:pPr>
              <w:spacing w:after="0" w:before="0" w:line="240" w:lineRule="auto"/>
            </w:pPr>
            <w:r>
              <w:rPr>
                <w:rFonts w:ascii="Times New Roman" w:hAnsi="Times New Roman" w:eastAsia="Times New Roman" w:cs="Times New Roman"/>
                <w:b w:val="0"/>
                <w:i w:val="0"/>
                <w:color w:val="000000"/>
                <w:sz w:val="18"/>
              </w:rPr>
              <w:t>0.026</w:t>
            </w:r>
          </w:p>
        </w:tc>
        <w:tc>
          <w:tcPr>
            <w:tcW w:type="dxa" w:w="1504"/>
          </w:tcPr>
          <w:p>
            <w:pPr>
              <w:spacing w:after="0" w:before="0" w:line="240" w:lineRule="auto"/>
            </w:pPr>
            <w:r>
              <w:rPr>
                <w:rFonts w:ascii="Times New Roman" w:hAnsi="Times New Roman" w:eastAsia="Times New Roman" w:cs="Times New Roman"/>
                <w:b w:val="0"/>
                <w:i w:val="0"/>
                <w:color w:val="000000"/>
                <w:sz w:val="18"/>
              </w:rPr>
              <w:t>30</w:t>
            </w:r>
          </w:p>
        </w:tc>
        <w:tc>
          <w:tcPr>
            <w:tcW w:type="dxa" w:w="1504"/>
          </w:tcPr>
          <w:p>
            <w:pPr>
              <w:spacing w:after="0" w:before="0" w:line="240" w:lineRule="auto"/>
            </w:pPr>
            <w:r>
              <w:rPr>
                <w:rFonts w:ascii="Times New Roman" w:hAnsi="Times New Roman" w:eastAsia="Times New Roman" w:cs="Times New Roman"/>
                <w:b w:val="0"/>
                <w:i w:val="0"/>
                <w:color w:val="000000"/>
                <w:sz w:val="18"/>
              </w:rPr>
              <w:t>baseline</w:t>
            </w:r>
          </w:p>
        </w:tc>
      </w:tr>
      <w:tr>
        <w:tc>
          <w:tcPr>
            <w:tcW w:type="dxa" w:w="1504"/>
          </w:tcPr>
          <w:p>
            <w:pPr>
              <w:spacing w:after="0" w:before="0" w:line="240" w:lineRule="auto"/>
            </w:pPr>
            <w:r>
              <w:rPr>
                <w:rFonts w:ascii="Times New Roman" w:hAnsi="Times New Roman" w:eastAsia="Times New Roman" w:cs="Times New Roman"/>
                <w:b/>
                <w:i w:val="0"/>
                <w:color w:val="000000"/>
                <w:sz w:val="18"/>
              </w:rPr>
              <w:t>L1</w:t>
            </w:r>
          </w:p>
        </w:tc>
        <w:tc>
          <w:tcPr>
            <w:tcW w:type="dxa" w:w="1504"/>
          </w:tcPr>
          <w:p>
            <w:pPr>
              <w:spacing w:after="0" w:before="0" w:line="240" w:lineRule="auto"/>
            </w:pPr>
            <w:r>
              <w:rPr>
                <w:rFonts w:ascii="Times New Roman" w:hAnsi="Times New Roman" w:eastAsia="Times New Roman" w:cs="Times New Roman"/>
                <w:b/>
                <w:i w:val="0"/>
                <w:color w:val="000000"/>
                <w:sz w:val="18"/>
              </w:rPr>
              <w:t>Multi-k (k=5,7,9) NJ</w:t>
            </w:r>
          </w:p>
        </w:tc>
        <w:tc>
          <w:tcPr>
            <w:tcW w:type="dxa" w:w="1504"/>
          </w:tcPr>
          <w:p>
            <w:pPr>
              <w:spacing w:after="0" w:before="0" w:line="240" w:lineRule="auto"/>
            </w:pPr>
            <w:r>
              <w:rPr>
                <w:rFonts w:ascii="Times New Roman" w:hAnsi="Times New Roman" w:eastAsia="Times New Roman" w:cs="Times New Roman"/>
                <w:b/>
                <w:i w:val="0"/>
                <w:color w:val="000000"/>
                <w:sz w:val="18"/>
              </w:rPr>
              <w:t>0.137</w:t>
            </w:r>
          </w:p>
        </w:tc>
        <w:tc>
          <w:tcPr>
            <w:tcW w:type="dxa" w:w="1504"/>
          </w:tcPr>
          <w:p>
            <w:pPr>
              <w:spacing w:after="0" w:before="0" w:line="240" w:lineRule="auto"/>
            </w:pPr>
            <w:r>
              <w:rPr>
                <w:rFonts w:ascii="Times New Roman" w:hAnsi="Times New Roman" w:eastAsia="Times New Roman" w:cs="Times New Roman"/>
                <w:b/>
                <w:i w:val="0"/>
                <w:color w:val="000000"/>
                <w:sz w:val="18"/>
              </w:rPr>
              <w:t>0.023</w:t>
            </w:r>
          </w:p>
        </w:tc>
        <w:tc>
          <w:tcPr>
            <w:tcW w:type="dxa" w:w="1504"/>
          </w:tcPr>
          <w:p>
            <w:pPr>
              <w:spacing w:after="0" w:before="0" w:line="240" w:lineRule="auto"/>
            </w:pPr>
            <w:r>
              <w:rPr>
                <w:rFonts w:ascii="Times New Roman" w:hAnsi="Times New Roman" w:eastAsia="Times New Roman" w:cs="Times New Roman"/>
                <w:b/>
                <w:i w:val="0"/>
                <w:color w:val="000000"/>
                <w:sz w:val="18"/>
              </w:rPr>
              <w:t>30</w:t>
            </w:r>
          </w:p>
        </w:tc>
        <w:tc>
          <w:tcPr>
            <w:tcW w:type="dxa" w:w="1504"/>
          </w:tcPr>
          <w:p>
            <w:pPr>
              <w:spacing w:after="0" w:before="0" w:line="240" w:lineRule="auto"/>
            </w:pPr>
            <w:r>
              <w:rPr>
                <w:rFonts w:ascii="Times New Roman" w:hAnsi="Times New Roman" w:eastAsia="Times New Roman" w:cs="Times New Roman"/>
                <w:b/>
                <w:i w:val="0"/>
                <w:color w:val="000000"/>
                <w:sz w:val="18"/>
              </w:rPr>
              <w:t>0.0018</w:t>
            </w:r>
          </w:p>
        </w:tc>
      </w:tr>
      <w:tr>
        <w:tc>
          <w:tcPr>
            <w:tcW w:type="dxa" w:w="1504"/>
          </w:tcPr>
          <w:p>
            <w:pPr>
              <w:spacing w:after="0" w:before="0" w:line="240" w:lineRule="auto"/>
            </w:pPr>
            <w:r>
              <w:rPr>
                <w:rFonts w:ascii="Times New Roman" w:hAnsi="Times New Roman" w:eastAsia="Times New Roman" w:cs="Times New Roman"/>
                <w:b w:val="0"/>
                <w:i w:val="0"/>
                <w:color w:val="000000"/>
                <w:sz w:val="18"/>
              </w:rPr>
              <w:t>L3</w:t>
            </w:r>
          </w:p>
        </w:tc>
        <w:tc>
          <w:tcPr>
            <w:tcW w:type="dxa" w:w="1504"/>
          </w:tcPr>
          <w:p>
            <w:pPr>
              <w:spacing w:after="0" w:before="0" w:line="240" w:lineRule="auto"/>
            </w:pPr>
            <w:r>
              <w:rPr>
                <w:rFonts w:ascii="Times New Roman" w:hAnsi="Times New Roman" w:eastAsia="Times New Roman" w:cs="Times New Roman"/>
                <w:b w:val="0"/>
                <w:i w:val="0"/>
                <w:color w:val="000000"/>
                <w:sz w:val="18"/>
              </w:rPr>
              <w:t>MAFFT + FastTree2 GTR</w:t>
            </w:r>
          </w:p>
        </w:tc>
        <w:tc>
          <w:tcPr>
            <w:tcW w:type="dxa" w:w="1504"/>
          </w:tcPr>
          <w:p>
            <w:pPr>
              <w:spacing w:after="0" w:before="0" w:line="240" w:lineRule="auto"/>
            </w:pPr>
            <w:r>
              <w:rPr>
                <w:rFonts w:ascii="Times New Roman" w:hAnsi="Times New Roman" w:eastAsia="Times New Roman" w:cs="Times New Roman"/>
                <w:b/>
                <w:i w:val="0"/>
                <w:color w:val="000000"/>
                <w:sz w:val="18"/>
              </w:rPr>
              <w:t>0.124</w:t>
            </w:r>
          </w:p>
        </w:tc>
        <w:tc>
          <w:tcPr>
            <w:tcW w:type="dxa" w:w="1504"/>
          </w:tcPr>
          <w:p>
            <w:pPr>
              <w:spacing w:after="0" w:before="0" w:line="240" w:lineRule="auto"/>
            </w:pPr>
            <w:r>
              <w:rPr>
                <w:rFonts w:ascii="Times New Roman" w:hAnsi="Times New Roman" w:eastAsia="Times New Roman" w:cs="Times New Roman"/>
                <w:b w:val="0"/>
                <w:i w:val="0"/>
                <w:color w:val="000000"/>
                <w:sz w:val="18"/>
              </w:rPr>
              <w:t>0.026</w:t>
            </w:r>
          </w:p>
        </w:tc>
        <w:tc>
          <w:tcPr>
            <w:tcW w:type="dxa" w:w="1504"/>
          </w:tcPr>
          <w:p>
            <w:pPr>
              <w:spacing w:after="0" w:before="0" w:line="240" w:lineRule="auto"/>
            </w:pPr>
            <w:r>
              <w:rPr>
                <w:rFonts w:ascii="Times New Roman" w:hAnsi="Times New Roman" w:eastAsia="Times New Roman" w:cs="Times New Roman"/>
                <w:b w:val="0"/>
                <w:i w:val="0"/>
                <w:color w:val="000000"/>
                <w:sz w:val="18"/>
              </w:rPr>
              <w:t>30</w:t>
            </w:r>
          </w:p>
        </w:tc>
        <w:tc>
          <w:tcPr>
            <w:tcW w:type="dxa" w:w="1504"/>
          </w:tcPr>
          <w:p>
            <w:pPr>
              <w:spacing w:after="0" w:before="0" w:line="240" w:lineRule="auto"/>
            </w:pPr>
            <w:r>
              <w:rPr>
                <w:rFonts w:ascii="Times New Roman" w:hAnsi="Times New Roman" w:eastAsia="Times New Roman" w:cs="Times New Roman"/>
                <w:b w:val="0"/>
                <w:i w:val="0"/>
                <w:color w:val="000000"/>
                <w:sz w:val="18"/>
              </w:rPr>
              <w:t>3.1×10⁻⁵ ²</w:t>
            </w:r>
          </w:p>
        </w:tc>
      </w:tr>
    </w:tbl>
    <w:p>
      <w:pPr>
        <w:spacing w:after="0"/>
      </w:pPr>
    </w:p>
    <w:p>
      <w:pPr>
        <w:spacing w:after="120" w:line="360" w:lineRule="auto"/>
      </w:pPr>
      <w:r>
        <w:rPr>
          <w:rFonts w:ascii="Times New Roman" w:hAnsi="Times New Roman" w:eastAsia="Times New Roman" w:cs="Times New Roman"/>
          <w:b w:val="0"/>
          <w:i w:val="0"/>
          <w:color w:val="000000"/>
          <w:sz w:val="24"/>
        </w:rPr>
        <w:t>¹ Wilcoxon signed-rank paired test against L0 (single-k NJ) within the same seed.</w:t>
      </w:r>
    </w:p>
    <w:p>
      <w:pPr>
        <w:spacing w:after="120" w:line="360" w:lineRule="auto"/>
      </w:pPr>
      <w:r>
        <w:rPr>
          <w:rFonts w:ascii="Times New Roman" w:hAnsi="Times New Roman" w:eastAsia="Times New Roman" w:cs="Times New Roman"/>
          <w:b w:val="0"/>
          <w:i w:val="0"/>
          <w:color w:val="000000"/>
          <w:sz w:val="24"/>
        </w:rPr>
        <w:t>² The comparison of primary interest is L1 vs L3: paired Wilcoxon p=0.0024, L3 lower in 22/30 seeds, L1 lower in 7, one tie; paired Cohen's d=0.64 (orientation L1 − L3, positive = L3 better).</w:t>
      </w:r>
    </w:p>
    <w:p>
      <w:pPr>
        <w:spacing w:after="120" w:line="360" w:lineRule="auto"/>
      </w:pPr>
      <w:r>
        <w:rPr>
          <w:rFonts w:ascii="Times New Roman" w:hAnsi="Times New Roman" w:eastAsia="Times New Roman" w:cs="Times New Roman"/>
          <w:b w:val="0"/>
          <w:i w:val="0"/>
          <w:color w:val="000000"/>
          <w:sz w:val="24"/>
        </w:rPr>
        <w:t xml:space="preserve">nRF=0: perfect match; nRF=1.0: random tree; nRF = RF/(2(n−3)). L0 and L1 trees are fully resolved (197 = n−3 splits); L3 trees carry 195–197 splits, FastTree2 occasionally leaving near-zero-length branches unresolved. All 30 seeds completed at every level; all three levels are compared within a single protocol and a single metric, so the level comparisons are internally fair. </w:t>
      </w:r>
      <w:r>
        <w:rPr>
          <w:rFonts w:ascii="Times New Roman" w:hAnsi="Times New Roman" w:eastAsia="Times New Roman" w:cs="Times New Roman"/>
          <w:b/>
          <w:i w:val="0"/>
          <w:color w:val="000000"/>
          <w:sz w:val="24"/>
        </w:rPr>
        <w:t>Data provenance and withdrawal.</w:t>
      </w:r>
      <w:r>
        <w:rPr>
          <w:rFonts w:ascii="Times New Roman" w:hAnsi="Times New Roman" w:eastAsia="Times New Roman" w:cs="Times New Roman"/>
          <w:b w:val="0"/>
          <w:i w:val="0"/>
          <w:color w:val="000000"/>
          <w:sz w:val="24"/>
        </w:rPr>
        <w:t xml:space="preserve"> Earlier versions of this table reported L0=0.743, L1=0.583 and L3=0.601, produced from data generated by a hand-written coalescent simulator. We regenerated the benchmark with INDELible v1.03 under the same stated protocol and rescored it with the root-independent RF. The replacement data are </w:t>
      </w:r>
      <w:r>
        <w:rPr>
          <w:rFonts w:ascii="Times New Roman" w:hAnsi="Times New Roman" w:eastAsia="Times New Roman" w:cs="Times New Roman"/>
          <w:b w:val="0"/>
          <w:i/>
          <w:color w:val="000000"/>
          <w:sz w:val="24"/>
        </w:rPr>
        <w:t>more</w:t>
      </w:r>
      <w:r>
        <w:rPr>
          <w:rFonts w:ascii="Times New Roman" w:hAnsi="Times New Roman" w:eastAsia="Times New Roman" w:cs="Times New Roman"/>
          <w:b w:val="0"/>
          <w:i w:val="0"/>
          <w:color w:val="000000"/>
          <w:sz w:val="24"/>
        </w:rPr>
        <w:t xml:space="preserve"> divergent, not less — mean root-to-tip distance 0.0573 subs/site (≈11.5% mean pairwise difference) versus 0.0172 subs/site (≈3.4%) for the old data — yet they give nRF values 4–5× lower. Greater divergence cannot yield lower topological error, so the old figures are not simply a harder realization of the same protocol; we regard them as defective and withdraw them. Under the replacement data the ordering of L1 and L3 reverses.</w:t>
      </w:r>
    </w:p>
    <w:p>
      <w:pPr>
        <w:spacing w:after="120" w:line="360" w:lineRule="auto"/>
      </w:pPr>
      <w:r>
        <w:rPr>
          <w:rFonts w:ascii="Times New Roman" w:hAnsi="Times New Roman" w:eastAsia="Times New Roman" w:cs="Times New Roman"/>
          <w:b w:val="0"/>
          <w:i w:val="0"/>
          <w:color w:val="000000"/>
          <w:sz w:val="24"/>
        </w:rPr>
        <w:t>Two findings emerge from this validation:</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MAFFT+FastTree2 significantly outperforms the multi-k ensemble at this scale.</w:t>
      </w:r>
      <w:r>
        <w:rPr>
          <w:rFonts w:ascii="Times New Roman" w:hAnsi="Times New Roman" w:eastAsia="Times New Roman" w:cs="Times New Roman"/>
          <w:b w:val="0"/>
          <w:i w:val="0"/>
          <w:color w:val="000000"/>
          <w:sz w:val="24"/>
        </w:rPr>
        <w:t xml:space="preserve"> L3 (0.124 ± 0.026) achieves lower topological error than L1 (0.137 ± 0.023): mean per-seed difference (L1 − L3) = +0.0136, paired Wilcoxon p=0.0024, paired Cohen's d=0.64, with L3 lower in 22/30 seeds and L1 lower in 7. This reverses the claim in earlier versions of this manuscript, which reported L1 as better than L3 (p=0.024, 19/30) on the defective data and under a biased nRF implementation. We therefore no longer claim that the multi-k ensemble reaches or exceeds MSA+ML accuracy under indel-rich conditions. What the benchmark supports is the narrower statement that an alignment-free multi-k ensemble comes within ~11% relative topological error of MAFFT+FastTree2 (0.137 vs 0.124) without ever computing a sequence alignment — and, given the Bonferroni context of the three pipeline-level pairwise comparisons (adjusted α=0.0167), even the direction of that gap should be read as established by the 22/30 win rate and the effect size rather than by the corrected p-value alone (adjusted p=0.007, which does survive).</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Multi-k fusion provides an 8.7% relative accuracy improvement over single-k</w:t>
      </w:r>
      <w:r>
        <w:rPr>
          <w:rFonts w:ascii="Times New Roman" w:hAnsi="Times New Roman" w:eastAsia="Times New Roman" w:cs="Times New Roman"/>
          <w:b w:val="0"/>
          <w:i w:val="0"/>
          <w:color w:val="000000"/>
          <w:sz w:val="24"/>
        </w:rPr>
        <w:t>, reducing nRF from 0.150 to 0.137 (paired Wilcoxon p=0.0018, paired Cohen's d=0.67, L1 lower in 19/30 seeds). This is a modest but reliable gain — considerably smaller than the 21.5% previously reported, which was computed on the defective data. Fusion also closes part of the gap to MSA+ML: L0 is 21% worse than L3 (0.150 vs 0.124; p=3.1×10⁻⁵, d=1.05), whereas L1 is 11% worse. The gain is therefore real but partial, and it does not overturn the advantage of alignment-based inference on data of this length and divergence.</w:t>
      </w:r>
    </w:p>
    <w:p>
      <w:pPr>
        <w:spacing w:after="120" w:line="360" w:lineRule="auto"/>
      </w:pPr>
      <w:r>
        <w:rPr>
          <w:rFonts w:ascii="Times New Roman" w:hAnsi="Times New Roman" w:eastAsia="Times New Roman" w:cs="Times New Roman"/>
          <w:b w:val="0"/>
          <w:i w:val="0"/>
          <w:color w:val="000000"/>
          <w:sz w:val="24"/>
        </w:rPr>
        <w:t>These results position the multi-k ensemble NJ as a fast approximation to MSA+ML rather than a replacement for it at this scale. In our harness the two are comparable in wall-clock time (median 44.5 s per seed for L1 versus 39.0 s for L3, both dominated by distance-matrix construction and alignment respectively rather than by tree search), so we do not claim a speed advantage for the ensemble at n=200; its advantages are the absence of an alignment step, the absence of manual k selection, and a cost profile that does not grow with alignment difficulty. The practical takeaway for exploratory analysis is a favourable speed–accuracy trade-off, not parity with MSA+ML.</w:t>
      </w:r>
    </w:p>
    <w:p>
      <w:pPr>
        <w:keepNext/>
        <w:spacing w:before="200" w:after="120" w:line="276" w:lineRule="auto"/>
      </w:pPr>
      <w:r>
        <w:rPr>
          <w:rFonts w:ascii="Times New Roman" w:hAnsi="Times New Roman" w:eastAsia="Times New Roman" w:cs="Times New Roman"/>
          <w:b/>
          <w:i w:val="0"/>
          <w:color w:val="000000"/>
          <w:sz w:val="26"/>
        </w:rPr>
        <w:t>Boundary classifier accurately distinguishes dataset homogeneity</w:t>
      </w:r>
    </w:p>
    <w:p>
      <w:pPr>
        <w:spacing w:after="120" w:line="360" w:lineRule="auto"/>
      </w:pPr>
      <w:r>
        <w:rPr>
          <w:rFonts w:ascii="Times New Roman" w:hAnsi="Times New Roman" w:eastAsia="Times New Roman" w:cs="Times New Roman"/>
          <w:b w:val="0"/>
          <w:i w:val="0"/>
          <w:color w:val="000000"/>
          <w:sz w:val="24"/>
        </w:rPr>
        <w:t>A critical component of Fusang's multi-layer pipeline is the Level 2 boundary classifier — a random forest (RF) model that determines whether a given node in the clustering hierarchy represents a homogeneous set of taxa (STOP) or requires further splitting (SPLIT). The classifier was trained on 8,116 labeled samples (6,176 SPLIT / 1,940 STOP; 585 simulated trees, zero generation failures) produced with the same INDELible v1.03 protocol as the accuracy benchmarks (birth–death tree prior λ=1.0/μ=0.5, GTR+Γ substitution, negative-binomial indels). We validated it on an independent test set of 150 scenarios spanning two fundamentally different tree types (Table 6; per-scenario results: Supplementary Table S15):</w:t>
      </w:r>
    </w:p>
    <w:p>
      <w:pPr>
        <w:pStyle w:val="ListBullet"/>
        <w:spacing w:after="60" w:line="360" w:lineRule="auto"/>
      </w:pPr>
      <w:r>
        <w:rPr>
          <w:rFonts w:ascii="Times New Roman" w:hAnsi="Times New Roman" w:eastAsia="Times New Roman" w:cs="Times New Roman"/>
          <w:b/>
          <w:i w:val="0"/>
          <w:color w:val="000000"/>
          <w:sz w:val="24"/>
        </w:rPr>
        <w:t>Coalescent trees</w:t>
      </w:r>
      <w:r>
        <w:rPr>
          <w:rFonts w:ascii="Times New Roman" w:hAnsi="Times New Roman" w:eastAsia="Times New Roman" w:cs="Times New Roman"/>
          <w:b w:val="0"/>
          <w:i w:val="0"/>
          <w:color w:val="000000"/>
          <w:sz w:val="24"/>
        </w:rPr>
        <w:t xml:space="preserve"> (75 scenarios): Single-population homogeneous simulations (n=50–500, 15 scenarios per scale) where all taxa evolve under the same model. These represent truly homogeneous datasets that should not be split.</w:t>
      </w:r>
    </w:p>
    <w:p>
      <w:pPr>
        <w:pStyle w:val="ListBullet"/>
        <w:spacing w:after="60" w:line="360" w:lineRule="auto"/>
      </w:pPr>
      <w:r>
        <w:rPr>
          <w:rFonts w:ascii="Times New Roman" w:hAnsi="Times New Roman" w:eastAsia="Times New Roman" w:cs="Times New Roman"/>
          <w:b/>
          <w:i w:val="0"/>
          <w:color w:val="000000"/>
          <w:sz w:val="24"/>
        </w:rPr>
        <w:t>Structured trees</w:t>
      </w:r>
      <w:r>
        <w:rPr>
          <w:rFonts w:ascii="Times New Roman" w:hAnsi="Times New Roman" w:eastAsia="Times New Roman" w:cs="Times New Roman"/>
          <w:b w:val="0"/>
          <w:i w:val="0"/>
          <w:color w:val="000000"/>
          <w:sz w:val="24"/>
        </w:rPr>
        <w:t xml:space="preserve"> (75 scenarios): Phylogenies with explicit structure, generated by concatenating 2–3 independently simulated clades whose substitution rates differ by a factor drawn from ×(0.5, 1.25, 2.0) (training data used a continuous ×U(0.4, 2.5) range), n=50–500. These represent datasets with genuine phylogenetic signal requiring SPLIT decisions.</w:t>
      </w:r>
    </w:p>
    <w:p>
      <w:pPr>
        <w:spacing w:after="120" w:line="360" w:lineRule="auto"/>
      </w:pPr>
      <w:r>
        <w:rPr>
          <w:rFonts w:ascii="Times New Roman" w:hAnsi="Times New Roman" w:eastAsia="Times New Roman" w:cs="Times New Roman"/>
          <w:b/>
          <w:i w:val="0"/>
          <w:color w:val="000000"/>
          <w:sz w:val="24"/>
        </w:rPr>
        <w:t>Classifier architecture.</w:t>
      </w:r>
      <w:r>
        <w:rPr>
          <w:rFonts w:ascii="Times New Roman" w:hAnsi="Times New Roman" w:eastAsia="Times New Roman" w:cs="Times New Roman"/>
          <w:b w:val="0"/>
          <w:i w:val="0"/>
          <w:color w:val="000000"/>
          <w:sz w:val="24"/>
        </w:rPr>
        <w:t xml:space="preserve"> The RF model uses a 50-dimensional feature vector derived from the k-mer distance matrix and tree topology, organized in seven groups: (A) cluster scale features (3: taxon count, sequence-length statistics); (B) pairwise k-mer distance distribution statistics (10: moments, quantiles, entropy); (C) multi-k distance agreement features (6: cross-k correlations and dispersions); (D) k-mer frequency spectrum features (8); (E) sequence-conservation features (4); (F) NJ tree topology features (6: branch-length moments, maximum branch length, cophenetic correlation); (G) global composition features (3), zero-padded to 50 dimensions. Samples comprise whole-tree feature vectors plus per-sub-cluster vectors extracted at internal clustering nodes (up to 15 sub-clusters per tree for n≤300; for computational feasibility at n=500 the cap was 5 — 585 trees and all whole-tree samples are complete regardless). Labels indicate whether the generating scenario was homogeneous (STOP) or structured (SPLIT). Five-fold cross-validation on the training set achieved ROC-AUC=0.831 ± 0.015 (held-out test: ROC-AUC=0.825, accuracy=0.801, F1=0.868). The lower CV AUC relative to an earlier JC69-era model (0.896) reflects that INDELible GTR+Γ data with variable-length unaligned sequences presents a harder decision boundary; the E2E results below show this does not compromise deployed accuracy. The model was implemented using scikit-learn (RandomForestClassifier, 200 estimators, max_depth=15, balanced class weights).</w:t>
      </w:r>
    </w:p>
    <w:p>
      <w:pPr>
        <w:spacing w:after="120" w:line="360" w:lineRule="auto"/>
      </w:pPr>
      <w:r>
        <w:rPr>
          <w:rFonts w:ascii="Times New Roman" w:hAnsi="Times New Roman" w:eastAsia="Times New Roman" w:cs="Times New Roman"/>
          <w:b/>
          <w:i w:val="0"/>
          <w:color w:val="000000"/>
          <w:sz w:val="24"/>
        </w:rPr>
        <w:t>Table 6. Boundary classifier validation (150 independent test scenarios, INDELible protocol).</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0" w:before="0" w:line="240" w:lineRule="auto"/>
            </w:pPr>
            <w:r>
              <w:rPr>
                <w:rFonts w:ascii="Times New Roman" w:hAnsi="Times New Roman" w:eastAsia="Times New Roman" w:cs="Times New Roman"/>
                <w:b/>
                <w:i w:val="0"/>
                <w:color w:val="000000"/>
                <w:sz w:val="18"/>
              </w:rPr>
              <w:t>Tree Type</w:t>
            </w:r>
          </w:p>
        </w:tc>
        <w:tc>
          <w:tcPr>
            <w:tcW w:type="dxa" w:w="1504"/>
          </w:tcPr>
          <w:p>
            <w:pPr>
              <w:spacing w:after="0" w:before="0" w:line="240" w:lineRule="auto"/>
            </w:pPr>
            <w:r>
              <w:rPr>
                <w:rFonts w:ascii="Times New Roman" w:hAnsi="Times New Roman" w:eastAsia="Times New Roman" w:cs="Times New Roman"/>
                <w:b/>
                <w:i w:val="0"/>
                <w:color w:val="000000"/>
                <w:sz w:val="18"/>
              </w:rPr>
              <w:t>Expected</w:t>
            </w:r>
          </w:p>
        </w:tc>
        <w:tc>
          <w:tcPr>
            <w:tcW w:type="dxa" w:w="1504"/>
          </w:tcPr>
          <w:p>
            <w:pPr>
              <w:spacing w:after="0" w:before="0" w:line="240" w:lineRule="auto"/>
            </w:pPr>
            <w:r>
              <w:rPr>
                <w:rFonts w:ascii="Times New Roman" w:hAnsi="Times New Roman" w:eastAsia="Times New Roman" w:cs="Times New Roman"/>
                <w:b/>
                <w:i w:val="0"/>
                <w:color w:val="000000"/>
                <w:sz w:val="18"/>
              </w:rPr>
              <w:t>n</w:t>
            </w:r>
          </w:p>
        </w:tc>
        <w:tc>
          <w:tcPr>
            <w:tcW w:type="dxa" w:w="1504"/>
          </w:tcPr>
          <w:p>
            <w:pPr>
              <w:spacing w:after="0" w:before="0" w:line="240" w:lineRule="auto"/>
            </w:pPr>
            <w:r>
              <w:rPr>
                <w:rFonts w:ascii="Times New Roman" w:hAnsi="Times New Roman" w:eastAsia="Times New Roman" w:cs="Times New Roman"/>
                <w:b/>
                <w:i w:val="0"/>
                <w:color w:val="000000"/>
                <w:sz w:val="18"/>
              </w:rPr>
              <w:t>Correct</w:t>
            </w:r>
          </w:p>
        </w:tc>
        <w:tc>
          <w:tcPr>
            <w:tcW w:type="dxa" w:w="1504"/>
          </w:tcPr>
          <w:p>
            <w:pPr>
              <w:spacing w:after="0" w:before="0" w:line="240" w:lineRule="auto"/>
            </w:pPr>
            <w:r>
              <w:rPr>
                <w:rFonts w:ascii="Times New Roman" w:hAnsi="Times New Roman" w:eastAsia="Times New Roman" w:cs="Times New Roman"/>
                <w:b/>
                <w:i w:val="0"/>
                <w:color w:val="000000"/>
                <w:sz w:val="18"/>
              </w:rPr>
              <w:t>Accuracy</w:t>
            </w:r>
          </w:p>
        </w:tc>
        <w:tc>
          <w:tcPr>
            <w:tcW w:type="dxa" w:w="1504"/>
          </w:tcPr>
          <w:p>
            <w:pPr>
              <w:spacing w:after="0" w:before="0" w:line="240" w:lineRule="auto"/>
            </w:pPr>
            <w:r>
              <w:rPr>
                <w:rFonts w:ascii="Times New Roman" w:hAnsi="Times New Roman" w:eastAsia="Times New Roman" w:cs="Times New Roman"/>
                <w:b/>
                <w:i w:val="0"/>
                <w:color w:val="000000"/>
                <w:sz w:val="18"/>
              </w:rPr>
              <w:t>Wilson 95% CI</w:t>
            </w:r>
          </w:p>
        </w:tc>
      </w:tr>
      <w:tr>
        <w:tc>
          <w:tcPr>
            <w:tcW w:type="dxa" w:w="1504"/>
          </w:tcPr>
          <w:p>
            <w:pPr>
              <w:spacing w:after="0" w:before="0" w:line="240" w:lineRule="auto"/>
            </w:pPr>
            <w:r>
              <w:rPr>
                <w:rFonts w:ascii="Times New Roman" w:hAnsi="Times New Roman" w:eastAsia="Times New Roman" w:cs="Times New Roman"/>
                <w:b w:val="0"/>
                <w:i w:val="0"/>
                <w:color w:val="000000"/>
                <w:sz w:val="18"/>
              </w:rPr>
              <w:t>Coalescent</w:t>
            </w:r>
          </w:p>
        </w:tc>
        <w:tc>
          <w:tcPr>
            <w:tcW w:type="dxa" w:w="1504"/>
          </w:tcPr>
          <w:p>
            <w:pPr>
              <w:spacing w:after="0" w:before="0" w:line="240" w:lineRule="auto"/>
            </w:pPr>
            <w:r>
              <w:rPr>
                <w:rFonts w:ascii="Times New Roman" w:hAnsi="Times New Roman" w:eastAsia="Times New Roman" w:cs="Times New Roman"/>
                <w:b w:val="0"/>
                <w:i w:val="0"/>
                <w:color w:val="000000"/>
                <w:sz w:val="18"/>
              </w:rPr>
              <w:t>STOP</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100%</w:t>
            </w:r>
          </w:p>
        </w:tc>
        <w:tc>
          <w:tcPr>
            <w:tcW w:type="dxa" w:w="1504"/>
          </w:tcPr>
          <w:p>
            <w:pPr>
              <w:spacing w:after="0" w:before="0" w:line="240" w:lineRule="auto"/>
            </w:pPr>
            <w:r>
              <w:rPr>
                <w:rFonts w:ascii="Times New Roman" w:hAnsi="Times New Roman" w:eastAsia="Times New Roman" w:cs="Times New Roman"/>
                <w:b w:val="0"/>
                <w:i w:val="0"/>
                <w:color w:val="000000"/>
                <w:sz w:val="18"/>
              </w:rPr>
              <w:t>[0.951, 1.000]</w:t>
            </w:r>
          </w:p>
        </w:tc>
      </w:tr>
      <w:tr>
        <w:tc>
          <w:tcPr>
            <w:tcW w:type="dxa" w:w="1504"/>
          </w:tcPr>
          <w:p>
            <w:pPr>
              <w:spacing w:after="0" w:before="0" w:line="240" w:lineRule="auto"/>
            </w:pPr>
            <w:r>
              <w:rPr>
                <w:rFonts w:ascii="Times New Roman" w:hAnsi="Times New Roman" w:eastAsia="Times New Roman" w:cs="Times New Roman"/>
                <w:b w:val="0"/>
                <w:i w:val="0"/>
                <w:color w:val="000000"/>
                <w:sz w:val="18"/>
              </w:rPr>
              <w:t>Structured</w:t>
            </w:r>
          </w:p>
        </w:tc>
        <w:tc>
          <w:tcPr>
            <w:tcW w:type="dxa" w:w="1504"/>
          </w:tcPr>
          <w:p>
            <w:pPr>
              <w:spacing w:after="0" w:before="0" w:line="240" w:lineRule="auto"/>
            </w:pPr>
            <w:r>
              <w:rPr>
                <w:rFonts w:ascii="Times New Roman" w:hAnsi="Times New Roman" w:eastAsia="Times New Roman" w:cs="Times New Roman"/>
                <w:b w:val="0"/>
                <w:i w:val="0"/>
                <w:color w:val="000000"/>
                <w:sz w:val="18"/>
              </w:rPr>
              <w:t>SPLIT</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75</w:t>
            </w:r>
          </w:p>
        </w:tc>
        <w:tc>
          <w:tcPr>
            <w:tcW w:type="dxa" w:w="1504"/>
          </w:tcPr>
          <w:p>
            <w:pPr>
              <w:spacing w:after="0" w:before="0" w:line="240" w:lineRule="auto"/>
            </w:pPr>
            <w:r>
              <w:rPr>
                <w:rFonts w:ascii="Times New Roman" w:hAnsi="Times New Roman" w:eastAsia="Times New Roman" w:cs="Times New Roman"/>
                <w:b w:val="0"/>
                <w:i w:val="0"/>
                <w:color w:val="000000"/>
                <w:sz w:val="18"/>
              </w:rPr>
              <w:t>100%</w:t>
            </w:r>
          </w:p>
        </w:tc>
        <w:tc>
          <w:tcPr>
            <w:tcW w:type="dxa" w:w="1504"/>
          </w:tcPr>
          <w:p>
            <w:pPr>
              <w:spacing w:after="0" w:before="0" w:line="240" w:lineRule="auto"/>
            </w:pPr>
            <w:r>
              <w:rPr>
                <w:rFonts w:ascii="Times New Roman" w:hAnsi="Times New Roman" w:eastAsia="Times New Roman" w:cs="Times New Roman"/>
                <w:b w:val="0"/>
                <w:i w:val="0"/>
                <w:color w:val="000000"/>
                <w:sz w:val="18"/>
              </w:rPr>
              <w:t>[0.951, 1.000]</w:t>
            </w:r>
          </w:p>
        </w:tc>
      </w:tr>
      <w:tr>
        <w:tc>
          <w:tcPr>
            <w:tcW w:type="dxa" w:w="1504"/>
          </w:tcPr>
          <w:p>
            <w:pPr>
              <w:spacing w:after="0" w:before="0" w:line="240" w:lineRule="auto"/>
            </w:pPr>
            <w:r>
              <w:rPr>
                <w:rFonts w:ascii="Times New Roman" w:hAnsi="Times New Roman" w:eastAsia="Times New Roman" w:cs="Times New Roman"/>
                <w:b/>
                <w:i w:val="0"/>
                <w:color w:val="000000"/>
                <w:sz w:val="18"/>
              </w:rPr>
              <w:t>Overall</w:t>
            </w:r>
          </w:p>
        </w:tc>
        <w:tc>
          <w:tcPr>
            <w:tcW w:type="dxa" w:w="1504"/>
          </w:tcPr>
          <w:p>
            <w:pPr>
              <w:spacing w:after="0" w:before="0" w:line="240" w:lineRule="auto"/>
            </w:pPr>
            <w:r>
              <w:rPr>
                <w:rFonts w:ascii="Times New Roman" w:hAnsi="Times New Roman" w:eastAsia="Times New Roman" w:cs="Times New Roman"/>
                <w:b w:val="0"/>
                <w:i w:val="0"/>
                <w:color w:val="000000"/>
                <w:sz w:val="18"/>
              </w:rPr>
              <w:t>—</w:t>
            </w:r>
          </w:p>
        </w:tc>
        <w:tc>
          <w:tcPr>
            <w:tcW w:type="dxa" w:w="1504"/>
          </w:tcPr>
          <w:p>
            <w:pPr>
              <w:spacing w:after="0" w:before="0" w:line="240" w:lineRule="auto"/>
            </w:pPr>
            <w:r>
              <w:rPr>
                <w:rFonts w:ascii="Times New Roman" w:hAnsi="Times New Roman" w:eastAsia="Times New Roman" w:cs="Times New Roman"/>
                <w:b/>
                <w:i w:val="0"/>
                <w:color w:val="000000"/>
                <w:sz w:val="18"/>
              </w:rPr>
              <w:t>150</w:t>
            </w:r>
          </w:p>
        </w:tc>
        <w:tc>
          <w:tcPr>
            <w:tcW w:type="dxa" w:w="1504"/>
          </w:tcPr>
          <w:p>
            <w:pPr>
              <w:spacing w:after="0" w:before="0" w:line="240" w:lineRule="auto"/>
            </w:pPr>
            <w:r>
              <w:rPr>
                <w:rFonts w:ascii="Times New Roman" w:hAnsi="Times New Roman" w:eastAsia="Times New Roman" w:cs="Times New Roman"/>
                <w:b/>
                <w:i w:val="0"/>
                <w:color w:val="000000"/>
                <w:sz w:val="18"/>
              </w:rPr>
              <w:t>150</w:t>
            </w:r>
          </w:p>
        </w:tc>
        <w:tc>
          <w:tcPr>
            <w:tcW w:type="dxa" w:w="1504"/>
          </w:tcPr>
          <w:p>
            <w:pPr>
              <w:spacing w:after="0" w:before="0" w:line="240" w:lineRule="auto"/>
            </w:pPr>
            <w:r>
              <w:rPr>
                <w:rFonts w:ascii="Times New Roman" w:hAnsi="Times New Roman" w:eastAsia="Times New Roman" w:cs="Times New Roman"/>
                <w:b/>
                <w:i w:val="0"/>
                <w:color w:val="000000"/>
                <w:sz w:val="18"/>
              </w:rPr>
              <w:t>100%</w:t>
            </w:r>
          </w:p>
        </w:tc>
        <w:tc>
          <w:tcPr>
            <w:tcW w:type="dxa" w:w="1504"/>
          </w:tcPr>
          <w:p>
            <w:pPr>
              <w:spacing w:after="0" w:before="0" w:line="240" w:lineRule="auto"/>
            </w:pPr>
            <w:r>
              <w:rPr>
                <w:rFonts w:ascii="Times New Roman" w:hAnsi="Times New Roman" w:eastAsia="Times New Roman" w:cs="Times New Roman"/>
                <w:b/>
                <w:i w:val="0"/>
                <w:color w:val="000000"/>
                <w:sz w:val="18"/>
              </w:rPr>
              <w:t>[0.975, 1.000]</w:t>
            </w:r>
          </w:p>
        </w:tc>
      </w:tr>
    </w:tbl>
    <w:p>
      <w:pPr>
        <w:spacing w:after="0"/>
      </w:pPr>
    </w:p>
    <w:p>
      <w:pPr>
        <w:spacing w:after="120" w:line="360" w:lineRule="auto"/>
      </w:pPr>
      <w:r>
        <w:rPr>
          <w:rFonts w:ascii="Times New Roman" w:hAnsi="Times New Roman" w:eastAsia="Times New Roman" w:cs="Times New Roman"/>
          <w:b w:val="0"/>
          <w:i w:val="0"/>
          <w:color w:val="000000"/>
          <w:sz w:val="24"/>
        </w:rPr>
        <w:t>The classifier achieved perfect accuracy on both scenario types: it never incorrectly triggered splitting on homogeneous coalescent data (0% false positive rate across 75 scenarios) and never failed to split on structured data (0% false negative rate across 75 scenarios). The predicted SPLIT probabilities are cleanly separated between the two classes (coalescent: p_split ∈ [0.005, 0.193], mean 0.077; structured: p_split ∈ [0.605, 1.000], mean 0.871), leaving a wide margin around the 0.5 decision threshold. The Wilson binomial confidence interval [0.975, 1.000] for the overall accuracy indicates that the true population accuracy is at least 97.5% with 95% confidence.</w:t>
      </w:r>
    </w:p>
    <w:p>
      <w:pPr>
        <w:spacing w:after="120" w:line="360" w:lineRule="auto"/>
      </w:pPr>
      <w:r>
        <w:rPr>
          <w:rFonts w:ascii="Times New Roman" w:hAnsi="Times New Roman" w:eastAsia="Times New Roman" w:cs="Times New Roman"/>
          <w:b w:val="0"/>
          <w:i w:val="0"/>
          <w:color w:val="000000"/>
          <w:sz w:val="24"/>
        </w:rPr>
        <w:t>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150 diverse simulated scenarios provides strong evidence that the boundary classifier generalizes beyond its training distribution. We note that test accuracy (100%) exceeds cross-validation performance on the training set (ROC-AUC=0.831); this gap reflects that the E2E test scenarios occupy well-separated regions of the parameter space (purely homogeneous vs clearly structured phylogenies), and performance on borderline scenarios near the STOP/SPLIT decision boundary may be lower.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keepNext/>
        <w:spacing w:before="200" w:after="120" w:line="276" w:lineRule="auto"/>
      </w:pPr>
      <w:r>
        <w:rPr>
          <w:rFonts w:ascii="Times New Roman" w:hAnsi="Times New Roman" w:eastAsia="Times New Roman" w:cs="Times New Roman"/>
          <w:b/>
          <w:i w:val="0"/>
          <w:color w:val="000000"/>
          <w:sz w:val="26"/>
        </w:rPr>
        <w:t>Comparison with existing alignment-free methods</w:t>
      </w:r>
    </w:p>
    <w:p>
      <w:pPr>
        <w:spacing w:after="120" w:line="360" w:lineRule="auto"/>
      </w:pPr>
      <w:r>
        <w:rPr>
          <w:rFonts w:ascii="Times New Roman" w:hAnsi="Times New Roman" w:eastAsia="Times New Roman" w:cs="Times New Roman"/>
          <w:b w:val="0"/>
          <w:i w:val="0"/>
          <w:color w:val="000000"/>
          <w:sz w:val="24"/>
        </w:rPr>
        <w:t>We compared Fusang against established alignment-free phylogenetic methods on simulated indel-rich data (n=200, sub=0.05, indel=0.02, 130 independent seeds 100–229, INDELible birth–death protocol; Table 7; per-seed data: Supplementary Table S10): Co-phylog (context-object matching), kmacs (k-mismatch average common substring [12]), and k-mer cosine baselines, plus Skmer [29] (genome-skim distance estimation), which proved structurally inapplicable at gene length (see below). Table 7 reports TRUE-relative accuracy (all methods' trees compared against the simulated ground-truth tree of the same seed) as the primary frame; FT2-relative values (vs the FastTree2 tree of the same seed) are given in the table footnote. We use the TRUE-relative frame as primary because the FT2-relative frame has poor discriminative power at this scale: FastTree2's own TRUE-relative error (0.2047 ± 0.0299) is of the same magnitude as every method's FT2-relative distance (~0.217–0.225), so proximity to the FT2 tree does not imply proximity to the truth.</w:t>
      </w:r>
    </w:p>
    <w:p>
      <w:pPr>
        <w:spacing w:after="120" w:line="360" w:lineRule="auto"/>
      </w:pPr>
      <w:r>
        <w:rPr>
          <w:rFonts w:ascii="Times New Roman" w:hAnsi="Times New Roman" w:eastAsia="Times New Roman" w:cs="Times New Roman"/>
          <w:b/>
          <w:i w:val="0"/>
          <w:color w:val="000000"/>
          <w:sz w:val="24"/>
        </w:rPr>
        <w:t>Table 7. Alignment-free method comparison on indel-rich data (n=200, sub=0.05, indel=0.02, 130 seeds 100–229). All nRF values are TRUE-relative (vs the simulated ground-truth tree).</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Type</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vs Fusang (full pipeline)</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k=7</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0.1938</w:t>
            </w:r>
          </w:p>
        </w:tc>
        <w:tc>
          <w:tcPr>
            <w:tcW w:type="dxa" w:w="1805"/>
          </w:tcPr>
          <w:p>
            <w:pPr>
              <w:spacing w:after="0" w:before="0" w:line="240" w:lineRule="auto"/>
            </w:pPr>
            <w:r>
              <w:rPr>
                <w:rFonts w:ascii="Times New Roman" w:hAnsi="Times New Roman" w:eastAsia="Times New Roman" w:cs="Times New Roman"/>
                <w:b w:val="0"/>
                <w:i w:val="0"/>
                <w:color w:val="000000"/>
                <w:sz w:val="18"/>
              </w:rPr>
              <w:t>0.0295</w:t>
            </w:r>
          </w:p>
        </w:tc>
        <w:tc>
          <w:tcPr>
            <w:tcW w:type="dxa" w:w="1805"/>
          </w:tcPr>
          <w:p>
            <w:pPr>
              <w:spacing w:after="0" w:before="0" w:line="240" w:lineRule="auto"/>
            </w:pPr>
            <w:r>
              <w:rPr>
                <w:rFonts w:ascii="Times New Roman" w:hAnsi="Times New Roman" w:eastAsia="Times New Roman" w:cs="Times New Roman"/>
                <w:b/>
                <w:i w:val="0"/>
                <w:color w:val="000000"/>
                <w:sz w:val="18"/>
              </w:rPr>
              <w:t>better</w:t>
            </w:r>
            <w:r>
              <w:rPr>
                <w:rFonts w:ascii="Times New Roman" w:hAnsi="Times New Roman" w:eastAsia="Times New Roman" w:cs="Times New Roman"/>
                <w:b w:val="0"/>
                <w:i w:val="0"/>
                <w:color w:val="000000"/>
                <w:sz w:val="18"/>
              </w:rPr>
              <w:t xml:space="preserve"> (k=7 wins 76/130, p=3.9×10⁻³, d=+0.252)</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multi-k ensemble</w:t>
            </w:r>
          </w:p>
        </w:tc>
        <w:tc>
          <w:tcPr>
            <w:tcW w:type="dxa" w:w="1805"/>
          </w:tcPr>
          <w:p>
            <w:pPr>
              <w:spacing w:after="0" w:before="0" w:line="240" w:lineRule="auto"/>
            </w:pPr>
            <w:r>
              <w:rPr>
                <w:rFonts w:ascii="Times New Roman" w:hAnsi="Times New Roman" w:eastAsia="Times New Roman" w:cs="Times New Roman"/>
                <w:b w:val="0"/>
                <w:i w:val="0"/>
                <w:color w:val="000000"/>
                <w:sz w:val="18"/>
              </w:rPr>
              <w:t>Multi-k contiguous (k=5,7,9 avg), NJ</w:t>
            </w:r>
          </w:p>
        </w:tc>
        <w:tc>
          <w:tcPr>
            <w:tcW w:type="dxa" w:w="1805"/>
          </w:tcPr>
          <w:p>
            <w:pPr>
              <w:spacing w:after="0" w:before="0" w:line="240" w:lineRule="auto"/>
            </w:pPr>
            <w:r>
              <w:rPr>
                <w:rFonts w:ascii="Times New Roman" w:hAnsi="Times New Roman" w:eastAsia="Times New Roman" w:cs="Times New Roman"/>
                <w:b/>
                <w:i w:val="0"/>
                <w:color w:val="000000"/>
                <w:sz w:val="18"/>
              </w:rPr>
              <w:t>0.1940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i w:val="0"/>
                <w:color w:val="000000"/>
                <w:sz w:val="18"/>
              </w:rPr>
              <w:t>better</w:t>
            </w:r>
            <w:r>
              <w:rPr>
                <w:rFonts w:ascii="Times New Roman" w:hAnsi="Times New Roman" w:eastAsia="Times New Roman" w:cs="Times New Roman"/>
                <w:b w:val="0"/>
                <w:i w:val="0"/>
                <w:color w:val="000000"/>
                <w:sz w:val="18"/>
              </w:rPr>
              <w:t xml:space="preserve"> (ensemble wins 72/130, p=7.7×10⁻³, d=+0.246)</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(k=5,gap2, spaced) + BME-NNI</w:t>
            </w:r>
          </w:p>
        </w:tc>
        <w:tc>
          <w:tcPr>
            <w:tcW w:type="dxa" w:w="1805"/>
          </w:tcPr>
          <w:p>
            <w:pPr>
              <w:spacing w:after="0" w:before="0" w:line="240" w:lineRule="auto"/>
            </w:pPr>
            <w:r>
              <w:rPr>
                <w:rFonts w:ascii="Times New Roman" w:hAnsi="Times New Roman" w:eastAsia="Times New Roman" w:cs="Times New Roman"/>
                <w:b w:val="0"/>
                <w:i w:val="0"/>
                <w:color w:val="000000"/>
                <w:sz w:val="18"/>
              </w:rPr>
              <w:t>Spaced k-mer, full pipeline</w:t>
            </w:r>
          </w:p>
        </w:tc>
        <w:tc>
          <w:tcPr>
            <w:tcW w:type="dxa" w:w="1805"/>
          </w:tcPr>
          <w:p>
            <w:pPr>
              <w:spacing w:after="0" w:before="0" w:line="240" w:lineRule="auto"/>
            </w:pPr>
            <w:r>
              <w:rPr>
                <w:rFonts w:ascii="Times New Roman" w:hAnsi="Times New Roman" w:eastAsia="Times New Roman" w:cs="Times New Roman"/>
                <w:b/>
                <w:i w:val="0"/>
                <w:color w:val="000000"/>
                <w:sz w:val="18"/>
              </w:rPr>
              <w:t>0.1990</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 (baseline)</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(k=5,gap2, spaced), NJ only</w:t>
            </w:r>
          </w:p>
        </w:tc>
        <w:tc>
          <w:tcPr>
            <w:tcW w:type="dxa" w:w="1805"/>
          </w:tcPr>
          <w:p>
            <w:pPr>
              <w:spacing w:after="0" w:before="0" w:line="240" w:lineRule="auto"/>
            </w:pPr>
            <w:r>
              <w:rPr>
                <w:rFonts w:ascii="Times New Roman" w:hAnsi="Times New Roman" w:eastAsia="Times New Roman" w:cs="Times New Roman"/>
                <w:b w:val="0"/>
                <w:i w:val="0"/>
                <w:color w:val="000000"/>
                <w:sz w:val="18"/>
              </w:rPr>
              <w:t>Spaced k-mer, no NNI</w:t>
            </w:r>
          </w:p>
        </w:tc>
        <w:tc>
          <w:tcPr>
            <w:tcW w:type="dxa" w:w="1805"/>
          </w:tcPr>
          <w:p>
            <w:pPr>
              <w:spacing w:after="0" w:before="0" w:line="240" w:lineRule="auto"/>
            </w:pPr>
            <w:r>
              <w:rPr>
                <w:rFonts w:ascii="Times New Roman" w:hAnsi="Times New Roman" w:eastAsia="Times New Roman" w:cs="Times New Roman"/>
                <w:b/>
                <w:i w:val="0"/>
                <w:color w:val="000000"/>
                <w:sz w:val="18"/>
              </w:rPr>
              <w:t>0.2003</w:t>
            </w:r>
          </w:p>
        </w:tc>
        <w:tc>
          <w:tcPr>
            <w:tcW w:type="dxa" w:w="1805"/>
          </w:tcPr>
          <w:p>
            <w:pPr>
              <w:spacing w:after="0" w:before="0" w:line="240" w:lineRule="auto"/>
            </w:pPr>
            <w:r>
              <w:rPr>
                <w:rFonts w:ascii="Times New Roman" w:hAnsi="Times New Roman" w:eastAsia="Times New Roman" w:cs="Times New Roman"/>
                <w:b w:val="0"/>
                <w:i w:val="0"/>
                <w:color w:val="000000"/>
                <w:sz w:val="18"/>
              </w:rPr>
              <w:t>0.0296</w:t>
            </w:r>
          </w:p>
        </w:tc>
        <w:tc>
          <w:tcPr>
            <w:tcW w:type="dxa" w:w="1805"/>
          </w:tcPr>
          <w:p>
            <w:pPr>
              <w:spacing w:after="0" w:before="0" w:line="240" w:lineRule="auto"/>
            </w:pPr>
            <w:r>
              <w:rPr>
                <w:rFonts w:ascii="Times New Roman" w:hAnsi="Times New Roman" w:eastAsia="Times New Roman" w:cs="Times New Roman"/>
                <w:b w:val="0"/>
                <w:i w:val="0"/>
                <w:color w:val="000000"/>
                <w:sz w:val="18"/>
              </w:rPr>
              <w:t>n.s. (p=0.34)</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k=9</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0.2005</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val="0"/>
                <w:i w:val="0"/>
                <w:color w:val="000000"/>
                <w:sz w:val="18"/>
              </w:rPr>
              <w:t>n.s. (p=0.377)</w:t>
            </w:r>
          </w:p>
        </w:tc>
      </w:tr>
      <w:tr>
        <w:tc>
          <w:tcPr>
            <w:tcW w:type="dxa" w:w="1805"/>
          </w:tcPr>
          <w:p>
            <w:pPr>
              <w:spacing w:after="0" w:before="0" w:line="240" w:lineRule="auto"/>
            </w:pPr>
            <w:r>
              <w:rPr>
                <w:rFonts w:ascii="Times New Roman" w:hAnsi="Times New Roman" w:eastAsia="Times New Roman" w:cs="Times New Roman"/>
                <w:b w:val="0"/>
                <w:i w:val="0"/>
                <w:color w:val="000000"/>
                <w:sz w:val="18"/>
              </w:rPr>
              <w:t>FastTree2 (MSA-based)</w:t>
            </w:r>
          </w:p>
        </w:tc>
        <w:tc>
          <w:tcPr>
            <w:tcW w:type="dxa" w:w="1805"/>
          </w:tcPr>
          <w:p>
            <w:pPr>
              <w:spacing w:after="0" w:before="0" w:line="240" w:lineRule="auto"/>
            </w:pPr>
            <w:r>
              <w:rPr>
                <w:rFonts w:ascii="Times New Roman" w:hAnsi="Times New Roman" w:eastAsia="Times New Roman" w:cs="Times New Roman"/>
                <w:b w:val="0"/>
                <w:i w:val="0"/>
                <w:color w:val="000000"/>
                <w:sz w:val="18"/>
              </w:rPr>
              <w:t>MSA + ML</w:t>
            </w:r>
          </w:p>
        </w:tc>
        <w:tc>
          <w:tcPr>
            <w:tcW w:type="dxa" w:w="1805"/>
          </w:tcPr>
          <w:p>
            <w:pPr>
              <w:spacing w:after="0" w:before="0" w:line="240" w:lineRule="auto"/>
            </w:pPr>
            <w:r>
              <w:rPr>
                <w:rFonts w:ascii="Times New Roman" w:hAnsi="Times New Roman" w:eastAsia="Times New Roman" w:cs="Times New Roman"/>
                <w:b/>
                <w:i w:val="0"/>
                <w:color w:val="000000"/>
                <w:sz w:val="18"/>
              </w:rPr>
              <w:t>0.2047</w:t>
            </w:r>
          </w:p>
        </w:tc>
        <w:tc>
          <w:tcPr>
            <w:tcW w:type="dxa" w:w="1805"/>
          </w:tcPr>
          <w:p>
            <w:pPr>
              <w:spacing w:after="0" w:before="0" w:line="240" w:lineRule="auto"/>
            </w:pPr>
            <w:r>
              <w:rPr>
                <w:rFonts w:ascii="Times New Roman" w:hAnsi="Times New Roman" w:eastAsia="Times New Roman" w:cs="Times New Roman"/>
                <w:b w:val="0"/>
                <w:i w:val="0"/>
                <w:color w:val="000000"/>
                <w:sz w:val="18"/>
              </w:rPr>
              <w:t>0.0299</w:t>
            </w:r>
          </w:p>
        </w:tc>
        <w:tc>
          <w:tcPr>
            <w:tcW w:type="dxa" w:w="1805"/>
          </w:tcPr>
          <w:p>
            <w:pPr>
              <w:spacing w:after="0" w:before="0" w:line="240" w:lineRule="auto"/>
            </w:pPr>
            <w:r>
              <w:rPr>
                <w:rFonts w:ascii="Times New Roman" w:hAnsi="Times New Roman" w:eastAsia="Times New Roman" w:cs="Times New Roman"/>
                <w:b w:val="0"/>
                <w:i w:val="0"/>
                <w:color w:val="000000"/>
                <w:sz w:val="18"/>
              </w:rPr>
              <w:t>1.03× worse (p=0.0507, borderline — not significant at α=0.05)</w:t>
            </w:r>
          </w:p>
        </w:tc>
      </w:tr>
      <w:tr>
        <w:tc>
          <w:tcPr>
            <w:tcW w:type="dxa" w:w="1805"/>
          </w:tcPr>
          <w:p>
            <w:pPr>
              <w:spacing w:after="0" w:before="0" w:line="240" w:lineRule="auto"/>
            </w:pPr>
            <w:r>
              <w:rPr>
                <w:rFonts w:ascii="Times New Roman" w:hAnsi="Times New Roman" w:eastAsia="Times New Roman" w:cs="Times New Roman"/>
                <w:b/>
                <w:i w:val="0"/>
                <w:color w:val="000000"/>
                <w:sz w:val="18"/>
              </w:rPr>
              <w:t>K-mer cosine k=5</w:t>
            </w:r>
            <w:r>
              <w:rPr>
                <w:rFonts w:ascii="Times New Roman" w:hAnsi="Times New Roman" w:eastAsia="Times New Roman" w:cs="Times New Roman"/>
                <w:b w:val="0"/>
                <w:i w:val="0"/>
                <w:color w:val="000000"/>
                <w:sz w:val="18"/>
              </w:rPr>
              <w:t xml:space="preserve"> (contiguous)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Frequency vector, NJ</w:t>
            </w:r>
          </w:p>
        </w:tc>
        <w:tc>
          <w:tcPr>
            <w:tcW w:type="dxa" w:w="1805"/>
          </w:tcPr>
          <w:p>
            <w:pPr>
              <w:spacing w:after="0" w:before="0" w:line="240" w:lineRule="auto"/>
            </w:pPr>
            <w:r>
              <w:rPr>
                <w:rFonts w:ascii="Times New Roman" w:hAnsi="Times New Roman" w:eastAsia="Times New Roman" w:cs="Times New Roman"/>
                <w:b/>
                <w:i w:val="0"/>
                <w:color w:val="000000"/>
                <w:sz w:val="18"/>
              </w:rPr>
              <w:t>0.2078</w:t>
            </w:r>
          </w:p>
        </w:tc>
        <w:tc>
          <w:tcPr>
            <w:tcW w:type="dxa" w:w="1805"/>
          </w:tcPr>
          <w:p>
            <w:pPr>
              <w:spacing w:after="0" w:before="0" w:line="240" w:lineRule="auto"/>
            </w:pPr>
            <w:r>
              <w:rPr>
                <w:rFonts w:ascii="Times New Roman" w:hAnsi="Times New Roman" w:eastAsia="Times New Roman" w:cs="Times New Roman"/>
                <w:b w:val="0"/>
                <w:i w:val="0"/>
                <w:color w:val="000000"/>
                <w:sz w:val="18"/>
              </w:rPr>
              <w:t>0.0314</w:t>
            </w:r>
          </w:p>
        </w:tc>
        <w:tc>
          <w:tcPr>
            <w:tcW w:type="dxa" w:w="1805"/>
          </w:tcPr>
          <w:p>
            <w:pPr>
              <w:spacing w:after="0" w:before="0" w:line="240" w:lineRule="auto"/>
            </w:pPr>
            <w:r>
              <w:rPr>
                <w:rFonts w:ascii="Times New Roman" w:hAnsi="Times New Roman" w:eastAsia="Times New Roman" w:cs="Times New Roman"/>
                <w:b w:val="0"/>
                <w:i w:val="0"/>
                <w:color w:val="000000"/>
                <w:sz w:val="18"/>
              </w:rPr>
              <w:t>worse (p=4.96×10⁻⁵, d=−0.385)</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xml:space="preserve"> (Leimeister &amp; Morgenstern 2014), k=3</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 (best of k∈{3,5,10})</w:t>
            </w:r>
          </w:p>
        </w:tc>
        <w:tc>
          <w:tcPr>
            <w:tcW w:type="dxa" w:w="1805"/>
          </w:tcPr>
          <w:p>
            <w:pPr>
              <w:spacing w:after="0" w:before="0" w:line="240" w:lineRule="auto"/>
            </w:pPr>
            <w:r>
              <w:rPr>
                <w:rFonts w:ascii="Times New Roman" w:hAnsi="Times New Roman" w:eastAsia="Times New Roman" w:cs="Times New Roman"/>
                <w:b/>
                <w:i w:val="0"/>
                <w:color w:val="000000"/>
                <w:sz w:val="18"/>
              </w:rPr>
              <w:t>0.3656</w:t>
            </w:r>
          </w:p>
        </w:tc>
        <w:tc>
          <w:tcPr>
            <w:tcW w:type="dxa" w:w="1805"/>
          </w:tcPr>
          <w:p>
            <w:pPr>
              <w:spacing w:after="0" w:before="0" w:line="240" w:lineRule="auto"/>
            </w:pPr>
            <w:r>
              <w:rPr>
                <w:rFonts w:ascii="Times New Roman" w:hAnsi="Times New Roman" w:eastAsia="Times New Roman" w:cs="Times New Roman"/>
                <w:b w:val="0"/>
                <w:i w:val="0"/>
                <w:color w:val="000000"/>
                <w:sz w:val="18"/>
              </w:rPr>
              <w:t>0.0389</w:t>
            </w:r>
          </w:p>
        </w:tc>
        <w:tc>
          <w:tcPr>
            <w:tcW w:type="dxa" w:w="1805"/>
          </w:tcPr>
          <w:p>
            <w:pPr>
              <w:spacing w:after="0" w:before="0" w:line="240" w:lineRule="auto"/>
            </w:pPr>
            <w:r>
              <w:rPr>
                <w:rFonts w:ascii="Times New Roman" w:hAnsi="Times New Roman" w:eastAsia="Times New Roman" w:cs="Times New Roman"/>
                <w:b w:val="0"/>
                <w:i w:val="0"/>
                <w:color w:val="000000"/>
                <w:sz w:val="18"/>
              </w:rPr>
              <w:t>1.8× worse (p=4.34×10⁻²³, d=−4.838)</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k=5</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w:t>
            </w:r>
          </w:p>
        </w:tc>
        <w:tc>
          <w:tcPr>
            <w:tcW w:type="dxa" w:w="1805"/>
          </w:tcPr>
          <w:p>
            <w:pPr>
              <w:spacing w:after="0" w:before="0" w:line="240" w:lineRule="auto"/>
            </w:pPr>
            <w:r>
              <w:rPr>
                <w:rFonts w:ascii="Times New Roman" w:hAnsi="Times New Roman" w:eastAsia="Times New Roman" w:cs="Times New Roman"/>
                <w:b w:val="0"/>
                <w:i w:val="0"/>
                <w:color w:val="000000"/>
                <w:sz w:val="18"/>
              </w:rPr>
              <w:t>0.4125</w:t>
            </w:r>
          </w:p>
        </w:tc>
        <w:tc>
          <w:tcPr>
            <w:tcW w:type="dxa" w:w="1805"/>
          </w:tcPr>
          <w:p>
            <w:pPr>
              <w:spacing w:after="0" w:before="0" w:line="240" w:lineRule="auto"/>
            </w:pPr>
            <w:r>
              <w:rPr>
                <w:rFonts w:ascii="Times New Roman" w:hAnsi="Times New Roman" w:eastAsia="Times New Roman" w:cs="Times New Roman"/>
                <w:b w:val="0"/>
                <w:i w:val="0"/>
                <w:color w:val="000000"/>
                <w:sz w:val="18"/>
              </w:rPr>
              <w:t>0.0385</w:t>
            </w:r>
          </w:p>
        </w:tc>
        <w:tc>
          <w:tcPr>
            <w:tcW w:type="dxa" w:w="1805"/>
          </w:tcPr>
          <w:p>
            <w:pPr>
              <w:spacing w:after="0" w:before="0" w:line="240" w:lineRule="auto"/>
            </w:pPr>
            <w:r>
              <w:rPr>
                <w:rFonts w:ascii="Times New Roman" w:hAnsi="Times New Roman" w:eastAsia="Times New Roman" w:cs="Times New Roman"/>
                <w:b w:val="0"/>
                <w:i w:val="0"/>
                <w:color w:val="000000"/>
                <w:sz w:val="18"/>
              </w:rPr>
              <w:t>2.1× worse (p=4.32×10⁻²³)</w:t>
            </w:r>
          </w:p>
        </w:tc>
      </w:tr>
      <w:tr>
        <w:tc>
          <w:tcPr>
            <w:tcW w:type="dxa" w:w="1805"/>
          </w:tcPr>
          <w:p>
            <w:pPr>
              <w:spacing w:after="0" w:before="0" w:line="240" w:lineRule="auto"/>
            </w:pPr>
            <w:r>
              <w:rPr>
                <w:rFonts w:ascii="Times New Roman" w:hAnsi="Times New Roman" w:eastAsia="Times New Roman" w:cs="Times New Roman"/>
                <w:b/>
                <w:i w:val="0"/>
                <w:color w:val="000000"/>
                <w:sz w:val="18"/>
              </w:rPr>
              <w:t>kmacs</w:t>
            </w:r>
            <w:r>
              <w:rPr>
                <w:rFonts w:ascii="Times New Roman" w:hAnsi="Times New Roman" w:eastAsia="Times New Roman" w:cs="Times New Roman"/>
                <w:b w:val="0"/>
                <w:i w:val="0"/>
                <w:color w:val="000000"/>
                <w:sz w:val="18"/>
              </w:rPr>
              <w:t>, k=10</w:t>
            </w:r>
          </w:p>
        </w:tc>
        <w:tc>
          <w:tcPr>
            <w:tcW w:type="dxa" w:w="1805"/>
          </w:tcPr>
          <w:p>
            <w:pPr>
              <w:spacing w:after="0" w:before="0" w:line="240" w:lineRule="auto"/>
            </w:pPr>
            <w:r>
              <w:rPr>
                <w:rFonts w:ascii="Times New Roman" w:hAnsi="Times New Roman" w:eastAsia="Times New Roman" w:cs="Times New Roman"/>
                <w:b w:val="0"/>
                <w:i w:val="0"/>
                <w:color w:val="000000"/>
                <w:sz w:val="18"/>
              </w:rPr>
              <w:t>k-mismatch ACS</w:t>
            </w:r>
          </w:p>
        </w:tc>
        <w:tc>
          <w:tcPr>
            <w:tcW w:type="dxa" w:w="1805"/>
          </w:tcPr>
          <w:p>
            <w:pPr>
              <w:spacing w:after="0" w:before="0" w:line="240" w:lineRule="auto"/>
            </w:pPr>
            <w:r>
              <w:rPr>
                <w:rFonts w:ascii="Times New Roman" w:hAnsi="Times New Roman" w:eastAsia="Times New Roman" w:cs="Times New Roman"/>
                <w:b w:val="0"/>
                <w:i w:val="0"/>
                <w:color w:val="000000"/>
                <w:sz w:val="18"/>
              </w:rPr>
              <w:t>0.4517</w:t>
            </w:r>
          </w:p>
        </w:tc>
        <w:tc>
          <w:tcPr>
            <w:tcW w:type="dxa" w:w="1805"/>
          </w:tcPr>
          <w:p>
            <w:pPr>
              <w:spacing w:after="0" w:before="0" w:line="240" w:lineRule="auto"/>
            </w:pPr>
            <w:r>
              <w:rPr>
                <w:rFonts w:ascii="Times New Roman" w:hAnsi="Times New Roman" w:eastAsia="Times New Roman" w:cs="Times New Roman"/>
                <w:b w:val="0"/>
                <w:i w:val="0"/>
                <w:color w:val="000000"/>
                <w:sz w:val="18"/>
              </w:rPr>
              <w:t>0.0399</w:t>
            </w:r>
          </w:p>
        </w:tc>
        <w:tc>
          <w:tcPr>
            <w:tcW w:type="dxa" w:w="1805"/>
          </w:tcPr>
          <w:p>
            <w:pPr>
              <w:spacing w:after="0" w:before="0" w:line="240" w:lineRule="auto"/>
            </w:pPr>
            <w:r>
              <w:rPr>
                <w:rFonts w:ascii="Times New Roman" w:hAnsi="Times New Roman" w:eastAsia="Times New Roman" w:cs="Times New Roman"/>
                <w:b w:val="0"/>
                <w:i w:val="0"/>
                <w:color w:val="000000"/>
                <w:sz w:val="18"/>
              </w:rPr>
              <w:t>2.3× worse (p=4.33×10⁻²³)</w:t>
            </w:r>
          </w:p>
        </w:tc>
      </w:tr>
      <w:tr>
        <w:tc>
          <w:tcPr>
            <w:tcW w:type="dxa" w:w="1805"/>
          </w:tcPr>
          <w:p>
            <w:pPr>
              <w:spacing w:after="0" w:before="0" w:line="240" w:lineRule="auto"/>
            </w:pPr>
            <w:r>
              <w:rPr>
                <w:rFonts w:ascii="Times New Roman" w:hAnsi="Times New Roman" w:eastAsia="Times New Roman" w:cs="Times New Roman"/>
                <w:b/>
                <w:i w:val="0"/>
                <w:color w:val="000000"/>
                <w:sz w:val="18"/>
              </w:rPr>
              <w:t>Co-phylog</w:t>
            </w:r>
            <w:r>
              <w:rPr>
                <w:rFonts w:ascii="Times New Roman" w:hAnsi="Times New Roman" w:eastAsia="Times New Roman" w:cs="Times New Roman"/>
                <w:b w:val="0"/>
                <w:i w:val="0"/>
                <w:color w:val="000000"/>
                <w:sz w:val="18"/>
              </w:rPr>
              <w:t xml:space="preserve"> (Yi &amp; Jin 2013)</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 k=19</w:t>
            </w:r>
          </w:p>
        </w:tc>
        <w:tc>
          <w:tcPr>
            <w:tcW w:type="dxa" w:w="1805"/>
          </w:tcPr>
          <w:p>
            <w:pPr>
              <w:spacing w:after="0" w:before="0" w:line="240" w:lineRule="auto"/>
            </w:pPr>
            <w:r>
              <w:rPr>
                <w:rFonts w:ascii="Times New Roman" w:hAnsi="Times New Roman" w:eastAsia="Times New Roman" w:cs="Times New Roman"/>
                <w:b w:val="0"/>
                <w:i w:val="0"/>
                <w:color w:val="000000"/>
                <w:sz w:val="18"/>
              </w:rPr>
              <w:t>0.8812</w:t>
            </w:r>
          </w:p>
        </w:tc>
        <w:tc>
          <w:tcPr>
            <w:tcW w:type="dxa" w:w="1805"/>
          </w:tcPr>
          <w:p>
            <w:pPr>
              <w:spacing w:after="0" w:before="0" w:line="240" w:lineRule="auto"/>
            </w:pPr>
            <w:r>
              <w:rPr>
                <w:rFonts w:ascii="Times New Roman" w:hAnsi="Times New Roman" w:eastAsia="Times New Roman" w:cs="Times New Roman"/>
                <w:b w:val="0"/>
                <w:i w:val="0"/>
                <w:color w:val="000000"/>
                <w:sz w:val="18"/>
              </w:rPr>
              <w:t>0.0353</w:t>
            </w:r>
          </w:p>
        </w:tc>
        <w:tc>
          <w:tcPr>
            <w:tcW w:type="dxa" w:w="1805"/>
          </w:tcPr>
          <w:p>
            <w:pPr>
              <w:spacing w:after="0" w:before="0" w:line="240" w:lineRule="auto"/>
            </w:pPr>
            <w:r>
              <w:rPr>
                <w:rFonts w:ascii="Times New Roman" w:hAnsi="Times New Roman" w:eastAsia="Times New Roman" w:cs="Times New Roman"/>
                <w:b w:val="0"/>
                <w:i w:val="0"/>
                <w:color w:val="000000"/>
                <w:sz w:val="18"/>
              </w:rPr>
              <w:t>4.4× worse (p=4.35×10⁻²³)</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Rows are ordered by mean nRF (most accurate first); the full Fusang pipeline is marked as the baseline for the right-hand column. nRF=0: perfect match; nRF=1.0: random tree. All alignment-free baselines (Co-phylog, kmacs, contiguous single-k, multi-k ensemble, and the NJ-only Fusang row) use neighbour-joining (BioPython) without NNI refinement; the full-pipeline Fusang row is the CLI product (NJ plus BME-scored NNI refinement, applied at n≥100). Wilcoxon signed-rank tests vs the full-pipeline Fusang configuration; paired Cohen's d is computed as the mean per-seed difference (Fusang − comparator) divided by its SD, so a </w:t>
      </w:r>
      <w:r>
        <w:rPr>
          <w:rFonts w:ascii="Times New Roman" w:hAnsi="Times New Roman" w:eastAsia="Times New Roman" w:cs="Times New Roman"/>
          <w:b/>
          <w:i w:val="0"/>
          <w:color w:val="000000"/>
          <w:sz w:val="24"/>
        </w:rPr>
        <w:t>negative</w:t>
      </w:r>
      <w:r>
        <w:rPr>
          <w:rFonts w:ascii="Times New Roman" w:hAnsi="Times New Roman" w:eastAsia="Times New Roman" w:cs="Times New Roman"/>
          <w:b w:val="0"/>
          <w:i w:val="0"/>
          <w:color w:val="000000"/>
          <w:sz w:val="24"/>
        </w:rPr>
        <w:t xml:space="preserve"> d means Fusang is more accurate and a positive d means the comparator is more accurate: Co-phylog p=4.35×10⁻²³ (d=−15.40), kmacs k=3 p=4.34×10⁻²³ (d=−4.84), k-mer cosine k=5 p=4.96×10⁻⁵ (d=−0.385), k=7 p=3.9×10⁻³ (d=+0.252), k=9 p=0.377 (n.s.), multi-k ensemble p=7.7×10⁻³ (d=+0.246), Fusang NJ-only p=0.34 (n.s.), FastTree2 p=0.0507 (d=−0.201; borderline — not significant at α=0.05). "×worse" is the ratio of the row mean to the 0.1990 baseline. In the FT2-relative frame (footnote values) the classical methods keep the same ordering (Co-phylog 0.8799, kmacs k=3 0.3815) and the two best k-mer configurations remain significantly better than Fusang (cosine k=7 p=4.5×10⁻⁶, ensemble p=1.24×10⁻⁴), but cosine k=5 (0.2240 vs Fusang 0.2246, p=0.48) and k=9 (p=0.74) are inseparable from it, and the spaced-vs-contiguous k=5 contrast is not significant in that frame (p=0.42) — consistent with the poor discriminability of the FT2 reference noted above. FT2-relative means (vs the FastTree2 tree of the same seed): Fusang CLI 0.2246, cosine k=5 0.2240, k=7 0.2166, k=9 0.2251, multi-k ensemble 0.2185, spaced NJ-only 0.2218, Co-phylog 0.8799, kmacs k=3 0.3815.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d=−15.40 value for Co-phylog should be interpreted as indicating near-deterministic superiority on every seed rather than a proportionally larger effect (|d|&gt;2 is conventionally "very large").</w:t>
      </w:r>
    </w:p>
    <w:p>
      <w:pPr>
        <w:spacing w:after="120" w:line="360" w:lineRule="auto"/>
      </w:pPr>
      <w:r>
        <w:rPr>
          <w:rFonts w:ascii="Times New Roman" w:hAnsi="Times New Roman" w:eastAsia="Times New Roman" w:cs="Times New Roman"/>
          <w:b w:val="0"/>
          <w:i w:val="0"/>
          <w:color w:val="000000"/>
          <w:sz w:val="24"/>
        </w:rPr>
        <w:t>Three key findings emerge from this comparison:</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Co-phylog fails under indel-rich conditions.</w:t>
      </w:r>
      <w:r>
        <w:rPr>
          <w:rFonts w:ascii="Times New Roman" w:hAnsi="Times New Roman" w:eastAsia="Times New Roman" w:cs="Times New Roman"/>
          <w:b w:val="0"/>
          <w:i w:val="0"/>
          <w:color w:val="000000"/>
          <w:sz w:val="24"/>
        </w:rPr>
        <w:t xml:space="preserve"> Co-phylog's context-object approach (k=19) produces substantially worse trees (TRUE-relative mean nRF=0.8812 ± 0.0353, 4.4× worse than Fusang, 0/130 wins, p=4.35×10⁻²³, paired d=−15.40)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kmacs, the closest classical relative of our approach, is significantly less accurate under indels.</w:t>
      </w:r>
      <w:r>
        <w:rPr>
          <w:rFonts w:ascii="Times New Roman" w:hAnsi="Times New Roman" w:eastAsia="Times New Roman" w:cs="Times New Roman"/>
          <w:b w:val="0"/>
          <w:i w:val="0"/>
          <w:color w:val="000000"/>
          <w:sz w:val="24"/>
        </w:rPr>
        <w:t xml:space="preserve"> kmacs extends the average common substring (ACS) approach with k-mismatch matching, making it the most directly comparable classical method. We scanned k∈{3,5,10} and found accuracy degrades monotonically with increasing k (TRUE-relative: k=3 0.3656 ± 0.0389, k=5 0.4125 ± 0.0385, k=10 0.4517 ± 0.0399; all 0/130 wins vs Fusang); we report the best configuration (k=3). Even at its best, kmacs achieves nRF=0.3656 ± 0.0389, 1.8× worse than Fusang (paired Wilcoxon p=4.34×10⁻²³, paired d=−4.84) — though far more robust than Co-phylog (0.8812). Substring-matching distances are sensitive to indel-disrupted substring sharing even with k-mismatch tolerance, whereas k-mer frequency vectors degrade gracefully because indels perturb frequencies rather than destroy matches.</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Spaced k-mers keep — and strengthen — their advantage on indel-rich DNA, whereas NNI refinement adds no detectable gain, and two contiguous configurations beat the default pipeline at this scale.</w:t>
      </w:r>
      <w:r>
        <w:rPr>
          <w:rFonts w:ascii="Times New Roman" w:hAnsi="Times New Roman" w:eastAsia="Times New Roman" w:cs="Times New Roman"/>
          <w:b w:val="0"/>
          <w:i w:val="0"/>
          <w:color w:val="000000"/>
          <w:sz w:val="24"/>
        </w:rPr>
        <w:t xml:space="preserve"> Three separable results follow from Table 7.</w:t>
      </w:r>
    </w:p>
    <w:p>
      <w:pPr>
        <w:spacing w:after="120" w:line="360" w:lineRule="auto"/>
      </w:pPr>
      <w:r>
        <w:rPr>
          <w:rFonts w:ascii="Times New Roman" w:hAnsi="Times New Roman" w:eastAsia="Times New Roman" w:cs="Times New Roman"/>
          <w:b w:val="0"/>
          <w:i w:val="0"/>
          <w:color w:val="000000"/>
          <w:sz w:val="24"/>
        </w:rPr>
        <w:t xml:space="preserve">(i) </w:t>
      </w:r>
      <w:r>
        <w:rPr>
          <w:rFonts w:ascii="Times New Roman" w:hAnsi="Times New Roman" w:eastAsia="Times New Roman" w:cs="Times New Roman"/>
          <w:b w:val="0"/>
          <w:i/>
          <w:color w:val="000000"/>
          <w:sz w:val="24"/>
        </w:rPr>
        <w:t>Spaced versus contiguous, like-for-like.</w:t>
      </w:r>
      <w:r>
        <w:rPr>
          <w:rFonts w:ascii="Times New Roman" w:hAnsi="Times New Roman" w:eastAsia="Times New Roman" w:cs="Times New Roman"/>
          <w:b w:val="0"/>
          <w:i w:val="0"/>
          <w:color w:val="000000"/>
          <w:sz w:val="24"/>
        </w:rPr>
        <w:t xml:space="preserve"> Comparing NJ trees with no NNI on either side, Fusang's spaced k=5,gap2 configuration (0.2003 ± 0.0296) significantly outperforms the contiguous k=5 cosine baseline (0.2078 ± 0.0314): spaced is more accurate on 75/130 seeds, contiguous on 46, with 9 ties, paired Wilcoxon p=5.54×10⁻⁴, paired d=−0.337. Under the superseded nRF implementation we reported 68/130 and p=7.97×10⁻³, so the advantage survives the switch to the standard root-independent RF and is if anything slightly stronger. It remains frame-specific: on the same 130 seeds the FT2-relative version of the identical contrast is not significant (spaced better in 60, contiguous in 63, 7 ties, p=0.42), continuing the pattern — already seen in our earlier underpowered 27-seed FT2-relative test (p=0.26) — that the FT2 reference frame masks real differences. On the protein benchmark the spaced advantage we previously reported (p=0.0078) does not survive the metric change (Table 10; p=0.64 and p=0.094), so the evidence for spaced patterns in this work rests on indel-rich DNA alone and we do not claim that gap content alone predicts a spaced-pattern gain. The DNA result is consistent with the proposed mechanism — spaced patterns recover k-mers that would otherwise be destroyed by an insertion or deletion falling inside their span, so their benefit should grow with indel content.</w:t>
      </w:r>
    </w:p>
    <w:p>
      <w:pPr>
        <w:spacing w:after="120" w:line="360" w:lineRule="auto"/>
      </w:pPr>
      <w:r>
        <w:rPr>
          <w:rFonts w:ascii="Times New Roman" w:hAnsi="Times New Roman" w:eastAsia="Times New Roman" w:cs="Times New Roman"/>
          <w:b w:val="0"/>
          <w:i w:val="0"/>
          <w:color w:val="000000"/>
          <w:sz w:val="24"/>
        </w:rPr>
        <w:t xml:space="preserve">(ii) </w:t>
      </w:r>
      <w:r>
        <w:rPr>
          <w:rFonts w:ascii="Times New Roman" w:hAnsi="Times New Roman" w:eastAsia="Times New Roman" w:cs="Times New Roman"/>
          <w:b w:val="0"/>
          <w:i/>
          <w:color w:val="000000"/>
          <w:sz w:val="24"/>
        </w:rPr>
        <w:t>NNI refinement provides no significant gain.</w:t>
      </w:r>
      <w:r>
        <w:rPr>
          <w:rFonts w:ascii="Times New Roman" w:hAnsi="Times New Roman" w:eastAsia="Times New Roman" w:cs="Times New Roman"/>
          <w:b w:val="0"/>
          <w:i w:val="0"/>
          <w:color w:val="000000"/>
          <w:sz w:val="24"/>
        </w:rPr>
        <w:t xml:space="preserve"> The full pipeline (0.1990 ± 0.0296) is not significantly better than the pure-NJ spaced tree (0.2003 ± 0.0296): full pipeline better in 54 seeds, NJ-only better in 50, 26 ties, paired Wilcoxon p=0.34, paired d=−0.092. The claim in earlier versions that BME-scored NNI refinement contributes a further significant gain (better on 100/130 seeds, p=7.1×10⁻¹³, d=0.76) is </w:t>
      </w:r>
      <w:r>
        <w:rPr>
          <w:rFonts w:ascii="Times New Roman" w:hAnsi="Times New Roman" w:eastAsia="Times New Roman" w:cs="Times New Roman"/>
          <w:b/>
          <w:i w:val="0"/>
          <w:color w:val="000000"/>
          <w:sz w:val="24"/>
        </w:rPr>
        <w:t>withdrawn</w:t>
      </w:r>
      <w:r>
        <w:rPr>
          <w:rFonts w:ascii="Times New Roman" w:hAnsi="Times New Roman" w:eastAsia="Times New Roman" w:cs="Times New Roman"/>
          <w:b w:val="0"/>
          <w:i w:val="0"/>
          <w:color w:val="000000"/>
          <w:sz w:val="24"/>
        </w:rPr>
        <w:t>: it was produced by the superseded nRF implementation. NNI refinement remains in the default pipeline as a low-cost, never-harmful-on-average step, but at L=500 bp we can no longer claim it improves accuracy.</w:t>
      </w:r>
    </w:p>
    <w:p>
      <w:pPr>
        <w:spacing w:after="120" w:line="360" w:lineRule="auto"/>
      </w:pPr>
      <w:r>
        <w:rPr>
          <w:rFonts w:ascii="Times New Roman" w:hAnsi="Times New Roman" w:eastAsia="Times New Roman" w:cs="Times New Roman"/>
          <w:b w:val="0"/>
          <w:i w:val="0"/>
          <w:color w:val="000000"/>
          <w:sz w:val="24"/>
        </w:rPr>
        <w:t xml:space="preserve">(iii) </w:t>
      </w:r>
      <w:r>
        <w:rPr>
          <w:rFonts w:ascii="Times New Roman" w:hAnsi="Times New Roman" w:eastAsia="Times New Roman" w:cs="Times New Roman"/>
          <w:b w:val="0"/>
          <w:i/>
          <w:color w:val="000000"/>
          <w:sz w:val="24"/>
        </w:rPr>
        <w:t>An honest negative for the default configuration.</w:t>
      </w:r>
      <w:r>
        <w:rPr>
          <w:rFonts w:ascii="Times New Roman" w:hAnsi="Times New Roman" w:eastAsia="Times New Roman" w:cs="Times New Roman"/>
          <w:b w:val="0"/>
          <w:i w:val="0"/>
          <w:color w:val="000000"/>
          <w:sz w:val="24"/>
        </w:rPr>
        <w:t xml:space="preserve"> At gene length (L=500 bp) two configurations are significantly more accurate than the default Fusang pipeline: contiguous k=7 (0.1938 ± 0.0295; k=7 better in 76/130 seeds, Fusang better in 42, 12 ties, p=3.9×10⁻³, d=+0.252) and the multi-k ensemble (0.1940 ± 0.0296; ensemble better in 72/130, Fusang better in 46, 12 ties, p=7.7×10⁻³, d=+0.246), while contiguous k=9 (0.2005) is statistically indistinguishable from it (p=0.377). We therefore no longer describe the default spaced k=5 + BME-NNI configuration as the most accurate Fusang setting at this scale: it is a robust default, but users seeking maximum accuracy on gene-length data of this divergence should prefer contiguous k=7 or the multi-k ensemble (Table 4; see also Practical recommendations).</w:t>
      </w:r>
    </w:p>
    <w:p>
      <w:pPr>
        <w:spacing w:after="120" w:line="360" w:lineRule="auto"/>
      </w:pPr>
      <w:r>
        <w:rPr>
          <w:rFonts w:ascii="Times New Roman" w:hAnsi="Times New Roman" w:eastAsia="Times New Roman" w:cs="Times New Roman"/>
          <w:b/>
          <w:i w:val="0"/>
          <w:color w:val="000000"/>
          <w:sz w:val="24"/>
        </w:rPr>
        <w:t>Multi-k ensemble.</w:t>
      </w:r>
      <w:r>
        <w:rPr>
          <w:rFonts w:ascii="Times New Roman" w:hAnsi="Times New Roman" w:eastAsia="Times New Roman" w:cs="Times New Roman"/>
          <w:b w:val="0"/>
          <w:i w:val="0"/>
          <w:color w:val="000000"/>
          <w:sz w:val="24"/>
        </w:rPr>
        <w:t xml:space="preserve"> On this 130-seed INDELible benchmark the multi-k ensemble (contiguous k=5,7,9 average, NJ) achieves TRUE-relative nRF=0.1940 ± 0.0296 — significantly better than the contiguous k=5 baseline (0.2078; ensemble better in 93/130, p=2.68×10⁻¹², d=0.755), than contiguous k=9 (0.2005; 81/130, p=9.04×10⁻⁸, d=0.517), than the NJ-only spaced configuration (0.2003; 74/130, p=1.16×10⁻³, d=0.317) and than the full Fusang pipeline (0.1990; 72/130, p=7.7×10⁻³, d=0.246), while remaining statistically indistinguishable from contiguous k=7 (0.1938; 48/130, p=0.669). In contrast to earlier versions of this manuscript, we therefore claim an accuracy advantage of the multi-k ensemble over the default spaced configuration at L=500 bp — a small one (0.0050 nRF, d=0.246), but significant and reproducible across 130 seeds. Table 4 examines the ensemble against its single-k components in detail. The ensemble's other established benefits are (i) the single-k→multi-k gain under the L=1000 bp protocol (Table 5, d=0.67, p=0.0018; an 8.7% relative reduction in nRF, 0.150→0.137) and (ii) the automatic rescue of the saturating gene-scale default at genome scale (see Real genome benchmarks below).</w:t>
      </w:r>
    </w:p>
    <w:p>
      <w:pPr>
        <w:spacing w:after="120" w:line="360" w:lineRule="auto"/>
      </w:pPr>
      <w:r>
        <w:rPr>
          <w:rFonts w:ascii="Times New Roman" w:hAnsi="Times New Roman" w:eastAsia="Times New Roman" w:cs="Times New Roman"/>
          <w:b/>
          <w:i w:val="0"/>
          <w:color w:val="000000"/>
          <w:sz w:val="24"/>
        </w:rPr>
        <w:t>Regarding andi</w:t>
      </w:r>
      <w:r>
        <w:rPr>
          <w:rFonts w:ascii="Times New Roman" w:hAnsi="Times New Roman" w:eastAsia="Times New Roman" w:cs="Times New Roman"/>
          <w:b w:val="0"/>
          <w:i w:val="0"/>
          <w:color w:val="000000"/>
          <w:sz w:val="24"/>
        </w:rPr>
        <w:t xml:space="preserve"> [25]: andi uses suffix-array-based anchor distances designed for genome-scale sequences (&gt;10kb). On gene-length sequences (~500 bp), andi's anchor-finding mechanism has insufficient maximal unique matches for reliable distance estimation. In our harness andi returned no usable tree on the gene-length families we attempted, so we report </w:t>
      </w:r>
      <w:r>
        <w:rPr>
          <w:rFonts w:ascii="Times New Roman" w:hAnsi="Times New Roman" w:eastAsia="Times New Roman" w:cs="Times New Roman"/>
          <w:b/>
          <w:i w:val="0"/>
          <w:color w:val="000000"/>
          <w:sz w:val="24"/>
        </w:rPr>
        <w:t>no accuracy figure</w:t>
      </w:r>
      <w:r>
        <w:rPr>
          <w:rFonts w:ascii="Times New Roman" w:hAnsi="Times New Roman" w:eastAsia="Times New Roman" w:cs="Times New Roman"/>
          <w:b w:val="0"/>
          <w:i w:val="0"/>
          <w:color w:val="000000"/>
          <w:sz w:val="24"/>
        </w:rPr>
        <w:t xml:space="preserve"> for it — the run record (</w:t>
      </w:r>
      <w:r>
        <w:rPr>
          <w:rFonts w:ascii="Consolas" w:hAnsi="Consolas" w:eastAsia="Consolas" w:cs="Consolas"/>
          <w:b w:val="0"/>
          <w:i w:val="0"/>
          <w:color w:val="000000"/>
          <w:sz w:val="24"/>
        </w:rPr>
        <w:t>benchmark_andi_results.json</w:t>
      </w:r>
      <w:r>
        <w:rPr>
          <w:rFonts w:ascii="Times New Roman" w:hAnsi="Times New Roman" w:eastAsia="Times New Roman" w:cs="Times New Roman"/>
          <w:b w:val="0"/>
          <w:i w:val="0"/>
          <w:color w:val="000000"/>
          <w:sz w:val="24"/>
        </w:rPr>
        <w:t>) captures timings only, with null tree fields for every replicate. We therefore characterise this as a design-domain mismatch rather than a measured accuracy result.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spacing w:after="120" w:line="360" w:lineRule="auto"/>
      </w:pPr>
      <w:r>
        <w:rPr>
          <w:rFonts w:ascii="Times New Roman" w:hAnsi="Times New Roman" w:eastAsia="Times New Roman" w:cs="Times New Roman"/>
          <w:b/>
          <w:i w:val="0"/>
          <w:color w:val="000000"/>
          <w:sz w:val="24"/>
        </w:rPr>
        <w:t>Regarding Skmer</w:t>
      </w:r>
      <w:r>
        <w:rPr>
          <w:rFonts w:ascii="Times New Roman" w:hAnsi="Times New Roman" w:eastAsia="Times New Roman" w:cs="Times New Roman"/>
          <w:b w:val="0"/>
          <w:i w:val="0"/>
          <w:color w:val="000000"/>
          <w:sz w:val="24"/>
        </w:rPr>
        <w:t xml:space="preserve"> [29]: Skmer estimates distances from genome skims through a k-mer depth-spectrum coverage and error-correction model. On our 500-bp single-gene benchmark data (INDELible n=200), Skmer </w:t>
      </w:r>
      <w:r>
        <w:rPr>
          <w:rFonts w:ascii="Times New Roman" w:hAnsi="Times New Roman" w:eastAsia="Times New Roman" w:cs="Times New Roman"/>
          <w:b w:val="0"/>
          <w:i/>
          <w:color w:val="000000"/>
          <w:sz w:val="24"/>
        </w:rPr>
        <w:t>completes</w:t>
      </w:r>
      <w:r>
        <w:rPr>
          <w:rFonts w:ascii="Times New Roman" w:hAnsi="Times New Roman" w:eastAsia="Times New Roman" w:cs="Times New Roman"/>
          <w:b w:val="0"/>
          <w:i w:val="0"/>
          <w:color w:val="000000"/>
          <w:sz w:val="24"/>
        </w:rPr>
        <w:t xml:space="preserve"> without error at both the default k=31 and at k=21, but its coverage model is inoperative: every sequence reports "coverage too low, not able to estimate it; no correction applied", because at gene length each k-mer occurs approximately once (0/200 sequences contain any repeated 21-mer or 31-mer), producing degenerate depth-1 histograms on which the coverage model cannot operate. The resulting uncorrected distance matrices are dominated by capped sentinel values (45.1% of off-diagonal pairs at k=31; 5.6% at k=21), and NJ trees built from them score nRF=0.782 (k=31) / 0.614 (k=21) against the seed-100 true tree under the standard root-independent unrooted RF (rescoring: </w:t>
      </w:r>
      <w:r>
        <w:rPr>
          <w:rFonts w:ascii="Consolas" w:hAnsi="Consolas" w:eastAsia="Consolas" w:cs="Consolas"/>
          <w:b w:val="0"/>
          <w:i w:val="0"/>
          <w:color w:val="000000"/>
          <w:sz w:val="24"/>
        </w:rPr>
        <w:t>repro_ablations/skmer_probe_nrfstandard.py</w:t>
      </w:r>
      <w:r>
        <w:rPr>
          <w:rFonts w:ascii="Times New Roman" w:hAnsi="Times New Roman" w:eastAsia="Times New Roman" w:cs="Times New Roman"/>
          <w:b w:val="0"/>
          <w:i w:val="0"/>
          <w:color w:val="000000"/>
          <w:sz w:val="24"/>
        </w:rPr>
        <w:t xml:space="preserve">; the earlier values 0.320/0.315, produced by the superseded root-dependent nRF implementation, are withdrawn) — 2.2–2.9× Fusang's error on the same seed (0.274) and worse than every tested competitor except Co-phylog. Skmer is therefore functionally inapplicable to gene-length phylogenetic inference — an outcome parallel to andi, whose suffix-array anchors likewise require genome-scale input. Both cases reflect design-domain mismatches rather than methodological weaknesses. (Versioning note: the bioconda package labelled skmer 3.3.0 ships skmer 3.1.0 code; we verified both environments install byte-identical </w:t>
      </w:r>
      <w:r>
        <w:rPr>
          <w:rFonts w:ascii="Consolas" w:hAnsi="Consolas" w:eastAsia="Consolas" w:cs="Consolas"/>
          <w:b w:val="0"/>
          <w:i w:val="0"/>
          <w:color w:val="000000"/>
          <w:sz w:val="24"/>
        </w:rPr>
        <w:t>__main__.py</w:t>
      </w:r>
      <w:r>
        <w:rPr>
          <w:rFonts w:ascii="Times New Roman" w:hAnsi="Times New Roman" w:eastAsia="Times New Roman" w:cs="Times New Roman"/>
          <w:b w:val="0"/>
          <w:i w:val="0"/>
          <w:color w:val="000000"/>
          <w:sz w:val="24"/>
        </w:rPr>
        <w:t xml:space="preserve">. An earlier record of a division-by-zero failure traced to a now-superseded dataset whose depth histograms contained interior zero counts; on the current benchmark data the estimator's graceful "coverage too low" branch is taken instead. Full audit trail: </w:t>
      </w:r>
      <w:r>
        <w:rPr>
          <w:rFonts w:ascii="Consolas" w:hAnsi="Consolas" w:eastAsia="Consolas" w:cs="Consolas"/>
          <w:b w:val="0"/>
          <w:i w:val="0"/>
          <w:color w:val="000000"/>
          <w:sz w:val="24"/>
        </w:rPr>
        <w:t>repro_ablations/_skmer_probe/FINDINGS.md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Accuracy at scale: n=1000 indel performance</w:t>
      </w:r>
    </w:p>
    <w:p>
      <w:pPr>
        <w:spacing w:after="120" w:line="360" w:lineRule="auto"/>
      </w:pPr>
      <w:r>
        <w:rPr>
          <w:rFonts w:ascii="Times New Roman" w:hAnsi="Times New Roman" w:eastAsia="Times New Roman" w:cs="Times New Roman"/>
          <w:b w:val="0"/>
          <w:i w:val="0"/>
          <w:color w:val="000000"/>
          <w:sz w:val="24"/>
        </w:rPr>
        <w:t xml:space="preserve">On indel-rich data at n=1000 (30 seeds, sub=0.05, indel=0.02), Fusang — run through the DCM+EPA pipeline, since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routes n&gt;500 to DCM (see the pipeline caveat in Discussion) — achieves TRUE-relative nRF=0.226 ± 0.015 vs FastTree2 0.212 ± 0.014 (paired Wilcoxon p=1.54×10⁻⁴; FastTree2 is significantly better, and the earlier claim of statistical indistinguishability — 0.133 ± 0.010 vs 0.131 ± 0.009, p=0.38 — is withdrawn as a product of the superseded nRF implementation; Table 1). The marginal, non-significant Fusang advantage observed at n=200 (p=0.0507) therefore reverses with increasing taxon count rather than extrapolating to n=1000: the indel-robustness benefit is confined to gene-family scale (n=200), while the FastTree2 advantage on clean data is significant at every scale tested (n=500: p=1.73×10⁻⁶; n=1000: p=1.73×10⁻⁶). This scale-dependence is itself practically informative: alignment-free inference is most competitive exactly in the regime where indels are frequent and taxon counts are moderate.</w:t>
      </w:r>
    </w:p>
    <w:p>
      <w:pPr>
        <w:keepNext/>
        <w:spacing w:before="200" w:after="120" w:line="276" w:lineRule="auto"/>
      </w:pPr>
      <w:r>
        <w:rPr>
          <w:rFonts w:ascii="Times New Roman" w:hAnsi="Times New Roman" w:eastAsia="Times New Roman" w:cs="Times New Roman"/>
          <w:b/>
          <w:i w:val="0"/>
          <w:color w:val="000000"/>
          <w:sz w:val="26"/>
        </w:rPr>
        <w:t>Spaced k-mer gap scales with tree size</w:t>
      </w:r>
    </w:p>
    <w:p>
      <w:pPr>
        <w:spacing w:after="120" w:line="360" w:lineRule="auto"/>
      </w:pPr>
      <w:r>
        <w:rPr>
          <w:rFonts w:ascii="Times New Roman" w:hAnsi="Times New Roman" w:eastAsia="Times New Roman" w:cs="Times New Roman"/>
          <w:b w:val="0"/>
          <w:i w:val="0"/>
          <w:color w:val="000000"/>
          <w:sz w:val="24"/>
        </w:rPr>
        <w:t>Systematic parameter scanning (k=3–8, gap=0–4, n=20–1000) revealed a robust relationship between optimal gap and dataset size (Table 8, Figure 4, Supplementary Figure S1, Supplementary Figure S2). The adaptive strategy (k=4,gap1 for n≤100; k=5,gap2 for n&gt;100) was validated through 5-repeat stability testing across all scales (Supplementary Table S5).</w:t>
      </w:r>
    </w:p>
    <w:p>
      <w:pPr>
        <w:spacing w:after="120" w:line="360" w:lineRule="auto"/>
      </w:pPr>
      <w:r>
        <w:rPr>
          <w:rFonts w:ascii="Times New Roman" w:hAnsi="Times New Roman" w:eastAsia="Times New Roman" w:cs="Times New Roman"/>
          <w:b/>
          <w:i w:val="0"/>
          <w:color w:val="000000"/>
          <w:sz w:val="24"/>
        </w:rPr>
        <w:t>Table 8. Optimal parameters and nRF stability across dataset scales (INDELible birth–death protocol; 130 seeds for n=50/100/200, 30 seeds for n=500/1000).</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n</w:t>
            </w:r>
          </w:p>
        </w:tc>
        <w:tc>
          <w:tcPr>
            <w:tcW w:type="dxa" w:w="1805"/>
          </w:tcPr>
          <w:p>
            <w:pPr>
              <w:spacing w:after="0" w:before="0" w:line="240" w:lineRule="auto"/>
            </w:pPr>
            <w:r>
              <w:rPr>
                <w:rFonts w:ascii="Times New Roman" w:hAnsi="Times New Roman" w:eastAsia="Times New Roman" w:cs="Times New Roman"/>
                <w:b/>
                <w:i w:val="0"/>
                <w:color w:val="000000"/>
                <w:sz w:val="18"/>
              </w:rPr>
              <w:t>Adaptive (k,gap)</w:t>
            </w:r>
          </w:p>
        </w:tc>
        <w:tc>
          <w:tcPr>
            <w:tcW w:type="dxa" w:w="1805"/>
          </w:tcPr>
          <w:p>
            <w:pPr>
              <w:spacing w:after="0" w:before="0" w:line="240" w:lineRule="auto"/>
            </w:pPr>
            <w:r>
              <w:rPr>
                <w:rFonts w:ascii="Times New Roman" w:hAnsi="Times New Roman" w:eastAsia="Times New Roman" w:cs="Times New Roman"/>
                <w:b/>
                <w:i w:val="0"/>
                <w:color w:val="000000"/>
                <w:sz w:val="18"/>
              </w:rPr>
              <w:t>Fusang nRF (clean)</w:t>
            </w:r>
          </w:p>
        </w:tc>
        <w:tc>
          <w:tcPr>
            <w:tcW w:type="dxa" w:w="1805"/>
          </w:tcPr>
          <w:p>
            <w:pPr>
              <w:spacing w:after="0" w:before="0" w:line="240" w:lineRule="auto"/>
            </w:pPr>
            <w:r>
              <w:rPr>
                <w:rFonts w:ascii="Times New Roman" w:hAnsi="Times New Roman" w:eastAsia="Times New Roman" w:cs="Times New Roman"/>
                <w:b/>
                <w:i w:val="0"/>
                <w:color w:val="000000"/>
                <w:sz w:val="18"/>
              </w:rPr>
              <w:t>FT2 nRF (clean)</w:t>
            </w:r>
          </w:p>
        </w:tc>
        <w:tc>
          <w:tcPr>
            <w:tcW w:type="dxa" w:w="1805"/>
          </w:tcPr>
          <w:p>
            <w:pPr>
              <w:spacing w:after="0" w:before="0" w:line="240" w:lineRule="auto"/>
            </w:pPr>
            <w:r>
              <w:rPr>
                <w:rFonts w:ascii="Times New Roman" w:hAnsi="Times New Roman" w:eastAsia="Times New Roman" w:cs="Times New Roman"/>
                <w:b/>
                <w:i w:val="0"/>
                <w:color w:val="000000"/>
                <w:sz w:val="18"/>
              </w:rPr>
              <w:t>Notes</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w:t>
            </w:r>
          </w:p>
        </w:tc>
        <w:tc>
          <w:tcPr>
            <w:tcW w:type="dxa" w:w="1805"/>
          </w:tcPr>
          <w:p>
            <w:pPr>
              <w:spacing w:after="0" w:before="0" w:line="240" w:lineRule="auto"/>
            </w:pPr>
            <w:r>
              <w:rPr>
                <w:rFonts w:ascii="Times New Roman" w:hAnsi="Times New Roman" w:eastAsia="Times New Roman" w:cs="Times New Roman"/>
                <w:b w:val="0"/>
                <w:i w:val="0"/>
                <w:color w:val="000000"/>
                <w:sz w:val="18"/>
              </w:rPr>
              <w:t>4,gap1</w:t>
            </w:r>
          </w:p>
        </w:tc>
        <w:tc>
          <w:tcPr>
            <w:tcW w:type="dxa" w:w="1805"/>
          </w:tcPr>
          <w:p>
            <w:pPr>
              <w:spacing w:after="0" w:before="0" w:line="240" w:lineRule="auto"/>
            </w:pPr>
            <w:r>
              <w:rPr>
                <w:rFonts w:ascii="Times New Roman" w:hAnsi="Times New Roman" w:eastAsia="Times New Roman" w:cs="Times New Roman"/>
                <w:b w:val="0"/>
                <w:i w:val="0"/>
                <w:color w:val="000000"/>
                <w:sz w:val="18"/>
              </w:rPr>
              <w:t>0.232 ± 0.072</w:t>
            </w:r>
          </w:p>
        </w:tc>
        <w:tc>
          <w:tcPr>
            <w:tcW w:type="dxa" w:w="1805"/>
          </w:tcPr>
          <w:p>
            <w:pPr>
              <w:spacing w:after="0" w:before="0" w:line="240" w:lineRule="auto"/>
            </w:pPr>
            <w:r>
              <w:rPr>
                <w:rFonts w:ascii="Times New Roman" w:hAnsi="Times New Roman" w:eastAsia="Times New Roman" w:cs="Times New Roman"/>
                <w:b/>
                <w:i w:val="0"/>
                <w:color w:val="000000"/>
                <w:sz w:val="18"/>
              </w:rPr>
              <w:t>0.210 ± 0.067</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p=1.3×10⁻⁵) §</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0.234 ± 0.045</w:t>
            </w:r>
          </w:p>
        </w:tc>
        <w:tc>
          <w:tcPr>
            <w:tcW w:type="dxa" w:w="1805"/>
          </w:tcPr>
          <w:p>
            <w:pPr>
              <w:spacing w:after="0" w:before="0" w:line="240" w:lineRule="auto"/>
            </w:pPr>
            <w:r>
              <w:rPr>
                <w:rFonts w:ascii="Times New Roman" w:hAnsi="Times New Roman" w:eastAsia="Times New Roman" w:cs="Times New Roman"/>
                <w:b/>
                <w:i w:val="0"/>
                <w:color w:val="000000"/>
                <w:sz w:val="18"/>
              </w:rPr>
              <w:t>0.209 ± 0.045</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p=1.2×10⁻¹⁰) §</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0.234 ± 0.035</w:t>
            </w:r>
          </w:p>
        </w:tc>
        <w:tc>
          <w:tcPr>
            <w:tcW w:type="dxa" w:w="1805"/>
          </w:tcPr>
          <w:p>
            <w:pPr>
              <w:spacing w:after="0" w:before="0" w:line="240" w:lineRule="auto"/>
            </w:pPr>
            <w:r>
              <w:rPr>
                <w:rFonts w:ascii="Times New Roman" w:hAnsi="Times New Roman" w:eastAsia="Times New Roman" w:cs="Times New Roman"/>
                <w:b/>
                <w:i w:val="0"/>
                <w:color w:val="000000"/>
                <w:sz w:val="18"/>
              </w:rPr>
              <w:t>0.210 ± 0.034</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p=2.07×10⁻¹⁴)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200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i w:val="0"/>
                <w:color w:val="000000"/>
                <w:sz w:val="18"/>
              </w:rPr>
              <w:t>0.199 ± 0.030</w:t>
            </w:r>
          </w:p>
        </w:tc>
        <w:tc>
          <w:tcPr>
            <w:tcW w:type="dxa" w:w="1805"/>
          </w:tcPr>
          <w:p>
            <w:pPr>
              <w:spacing w:after="0" w:before="0" w:line="240" w:lineRule="auto"/>
            </w:pPr>
            <w:r>
              <w:rPr>
                <w:rFonts w:ascii="Times New Roman" w:hAnsi="Times New Roman" w:eastAsia="Times New Roman" w:cs="Times New Roman"/>
                <w:b w:val="0"/>
                <w:i w:val="0"/>
                <w:color w:val="000000"/>
                <w:sz w:val="18"/>
              </w:rPr>
              <w:t>0.205 ± 0.030</w:t>
            </w:r>
          </w:p>
        </w:tc>
        <w:tc>
          <w:tcPr>
            <w:tcW w:type="dxa" w:w="1805"/>
          </w:tcPr>
          <w:p>
            <w:pPr>
              <w:spacing w:after="0" w:before="0" w:line="240" w:lineRule="auto"/>
            </w:pPr>
            <w:r>
              <w:rPr>
                <w:rFonts w:ascii="Times New Roman" w:hAnsi="Times New Roman" w:eastAsia="Times New Roman" w:cs="Times New Roman"/>
                <w:b w:val="0"/>
                <w:i w:val="0"/>
                <w:color w:val="000000"/>
                <w:sz w:val="18"/>
              </w:rPr>
              <w:t>Fusang better (indel, p=0.0507, borderline; n.s. at α=0.05) ‡</w:t>
            </w:r>
          </w:p>
        </w:tc>
      </w:tr>
      <w:tr>
        <w:tc>
          <w:tcPr>
            <w:tcW w:type="dxa" w:w="1805"/>
          </w:tcPr>
          <w:p>
            <w:pPr>
              <w:spacing w:after="0" w:before="0" w:line="240" w:lineRule="auto"/>
            </w:pPr>
            <w:r>
              <w:rPr>
                <w:rFonts w:ascii="Times New Roman" w:hAnsi="Times New Roman" w:eastAsia="Times New Roman" w:cs="Times New Roman"/>
                <w:b w:val="0"/>
                <w:i w:val="0"/>
                <w:color w:val="000000"/>
                <w:sz w:val="18"/>
              </w:rPr>
              <w:t>500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0.244 ± 0.019</w:t>
            </w:r>
          </w:p>
        </w:tc>
        <w:tc>
          <w:tcPr>
            <w:tcW w:type="dxa" w:w="1805"/>
          </w:tcPr>
          <w:p>
            <w:pPr>
              <w:spacing w:after="0" w:before="0" w:line="240" w:lineRule="auto"/>
            </w:pPr>
            <w:r>
              <w:rPr>
                <w:rFonts w:ascii="Times New Roman" w:hAnsi="Times New Roman" w:eastAsia="Times New Roman" w:cs="Times New Roman"/>
                <w:b/>
                <w:i w:val="0"/>
                <w:color w:val="000000"/>
                <w:sz w:val="18"/>
              </w:rPr>
              <w:t>0.213 ± 0.017</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p=1.73×10⁻⁶)</w:t>
            </w:r>
          </w:p>
        </w:tc>
      </w:tr>
      <w:tr>
        <w:tc>
          <w:tcPr>
            <w:tcW w:type="dxa" w:w="1805"/>
          </w:tcPr>
          <w:p>
            <w:pPr>
              <w:spacing w:after="0" w:before="0" w:line="240" w:lineRule="auto"/>
            </w:pPr>
            <w:r>
              <w:rPr>
                <w:rFonts w:ascii="Times New Roman" w:hAnsi="Times New Roman" w:eastAsia="Times New Roman" w:cs="Times New Roman"/>
                <w:b w:val="0"/>
                <w:i w:val="0"/>
                <w:color w:val="000000"/>
                <w:sz w:val="18"/>
              </w:rPr>
              <w:t>1000</w:t>
            </w:r>
          </w:p>
        </w:tc>
        <w:tc>
          <w:tcPr>
            <w:tcW w:type="dxa" w:w="1805"/>
          </w:tcPr>
          <w:p>
            <w:pPr>
              <w:spacing w:after="0" w:before="0" w:line="240" w:lineRule="auto"/>
            </w:pPr>
            <w:r>
              <w:rPr>
                <w:rFonts w:ascii="Times New Roman" w:hAnsi="Times New Roman" w:eastAsia="Times New Roman" w:cs="Times New Roman"/>
                <w:b w:val="0"/>
                <w:i w:val="0"/>
                <w:color w:val="000000"/>
                <w:sz w:val="18"/>
              </w:rPr>
              <w:t>5,gap2</w:t>
            </w:r>
          </w:p>
        </w:tc>
        <w:tc>
          <w:tcPr>
            <w:tcW w:type="dxa" w:w="1805"/>
          </w:tcPr>
          <w:p>
            <w:pPr>
              <w:spacing w:after="0" w:before="0" w:line="240" w:lineRule="auto"/>
            </w:pPr>
            <w:r>
              <w:rPr>
                <w:rFonts w:ascii="Times New Roman" w:hAnsi="Times New Roman" w:eastAsia="Times New Roman" w:cs="Times New Roman"/>
                <w:b w:val="0"/>
                <w:i w:val="0"/>
                <w:color w:val="000000"/>
                <w:sz w:val="18"/>
              </w:rPr>
              <w:t>0.257 ± 0.019</w:t>
            </w:r>
          </w:p>
        </w:tc>
        <w:tc>
          <w:tcPr>
            <w:tcW w:type="dxa" w:w="1805"/>
          </w:tcPr>
          <w:p>
            <w:pPr>
              <w:spacing w:after="0" w:before="0" w:line="240" w:lineRule="auto"/>
            </w:pPr>
            <w:r>
              <w:rPr>
                <w:rFonts w:ascii="Times New Roman" w:hAnsi="Times New Roman" w:eastAsia="Times New Roman" w:cs="Times New Roman"/>
                <w:b/>
                <w:i w:val="0"/>
                <w:color w:val="000000"/>
                <w:sz w:val="18"/>
              </w:rPr>
              <w:t>0.212 ± 0.016</w:t>
            </w:r>
          </w:p>
        </w:tc>
        <w:tc>
          <w:tcPr>
            <w:tcW w:type="dxa" w:w="1805"/>
          </w:tcPr>
          <w:p>
            <w:pPr>
              <w:spacing w:after="0" w:before="0" w:line="240" w:lineRule="auto"/>
            </w:pPr>
            <w:r>
              <w:rPr>
                <w:rFonts w:ascii="Times New Roman" w:hAnsi="Times New Roman" w:eastAsia="Times New Roman" w:cs="Times New Roman"/>
                <w:b w:val="0"/>
                <w:i w:val="0"/>
                <w:color w:val="000000"/>
                <w:sz w:val="18"/>
              </w:rPr>
              <w:t>FT2 better (clean, p=1.73×10⁻⁶)</w:t>
            </w:r>
          </w:p>
        </w:tc>
      </w:tr>
    </w:tbl>
    <w:p>
      <w:pPr>
        <w:spacing w:after="0"/>
      </w:pPr>
    </w:p>
    <w:p>
      <w:pPr>
        <w:spacing w:after="120" w:line="360" w:lineRule="auto"/>
      </w:pPr>
      <w:r>
        <w:rPr>
          <w:rFonts w:ascii="Times New Roman" w:hAnsi="Times New Roman" w:eastAsia="Times New Roman" w:cs="Times New Roman"/>
          <w:b/>
          <w:i w:val="0"/>
          <w:color w:val="000000"/>
          <w:sz w:val="24"/>
        </w:rPr>
        <w:t>Notes</w:t>
      </w:r>
      <w:r>
        <w:rPr>
          <w:rFonts w:ascii="Times New Roman" w:hAnsi="Times New Roman" w:eastAsia="Times New Roman" w:cs="Times New Roman"/>
          <w:b w:val="0"/>
          <w:i w:val="0"/>
          <w:color w:val="000000"/>
          <w:sz w:val="24"/>
        </w:rPr>
        <w:t xml:space="preserve">: For n&lt;1000, Notes column indicates which method performs better and the p-value when significant. For n=1000 the Fusang trees were produced by the DCM+EPA pipeline: </w:t>
      </w:r>
      <w:r>
        <w:rPr>
          <w:rFonts w:ascii="Consolas" w:hAnsi="Consolas" w:eastAsia="Consolas" w:cs="Consolas"/>
          <w:b w:val="0"/>
          <w:i w:val="0"/>
          <w:color w:val="000000"/>
          <w:sz w:val="24"/>
        </w:rPr>
        <w:t>run_bench_indelible.py</w:t>
      </w:r>
      <w:r>
        <w:rPr>
          <w:rFonts w:ascii="Times New Roman" w:hAnsi="Times New Roman" w:eastAsia="Times New Roman" w:cs="Times New Roman"/>
          <w:b w:val="0"/>
          <w:i w:val="0"/>
          <w:color w:val="000000"/>
          <w:sz w:val="24"/>
        </w:rPr>
        <w:t xml:space="preserve"> appends </w:t>
      </w:r>
      <w:r>
        <w:rPr>
          <w:rFonts w:ascii="Consolas" w:hAnsi="Consolas" w:eastAsia="Consolas" w:cs="Consolas"/>
          <w:b w:val="0"/>
          <w:i w:val="0"/>
          <w:color w:val="000000"/>
          <w:sz w:val="24"/>
        </w:rPr>
        <w:t>--auto_group_method nj_centroid</w:t>
      </w:r>
      <w:r>
        <w:rPr>
          <w:rFonts w:ascii="Times New Roman" w:hAnsi="Times New Roman" w:eastAsia="Times New Roman" w:cs="Times New Roman"/>
          <w:b w:val="0"/>
          <w:i w:val="0"/>
          <w:color w:val="000000"/>
          <w:sz w:val="24"/>
        </w:rPr>
        <w:t xml:space="preserve"> whenever n &gt; 500, and with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this routes n=1000 through DCM (see also the pipeline caveat in Discussion). The winner is still FastTree2 on clean data. See Supplementary Table S6 for complete n=1000 benchmark results (30 seeds, both clean and indel conditions). ‡ Row values are from the 130-seed benchmark (seeds 100–229; all seeds valid, no outlier exclusion), paired Wilcoxon p=0.0507 (Table 3; integer RF counts, zero-split convention; not significant at α=0.05). § n=50 and n=100 rows: 130-seed INDELible clean benchmarks (seeds 100–229) measured at the benchmark configuration k=5,gap2 (the Adaptive column shows what the parameter selector would choose). Values shown use all 130 seeds; applying the pre-specified symmetric nRF&gt;0.3 exclusion removes 26/130 seeds at n=50 (Fusang 0.208 ± 0.057 vs FT2 0.189 ± 0.052, p=9.9×10⁻⁵) and 10/130 at n=100 (0.228 ± 0.041 vs 0.204 ± 0.041, p=8.1×10⁻¹⁰) without changing any conclusion. FastTree2 is significantly better at every clean-data scale tested.</w:t>
      </w:r>
    </w:p>
    <w:p>
      <w:pPr>
        <w:spacing w:after="120" w:line="360" w:lineRule="auto"/>
      </w:pPr>
      <w:r>
        <w:rPr>
          <w:rFonts w:ascii="Times New Roman" w:hAnsi="Times New Roman" w:eastAsia="Times New Roman" w:cs="Times New Roman"/>
          <w:b w:val="0"/>
          <w:i w:val="0"/>
          <w:color w:val="000000"/>
          <w:sz w:val="24"/>
        </w:rPr>
        <w:t>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keepNext/>
        <w:spacing w:before="200" w:after="120" w:line="276" w:lineRule="auto"/>
      </w:pPr>
      <w:r>
        <w:rPr>
          <w:rFonts w:ascii="Times New Roman" w:hAnsi="Times New Roman" w:eastAsia="Times New Roman" w:cs="Times New Roman"/>
          <w:b/>
          <w:i w:val="0"/>
          <w:color w:val="000000"/>
          <w:sz w:val="26"/>
        </w:rPr>
        <w:t>Validation on real 16S rRNA sequences</w:t>
      </w:r>
    </w:p>
    <w:p>
      <w:pPr>
        <w:spacing w:after="120" w:line="360" w:lineRule="auto"/>
      </w:pPr>
      <w:r>
        <w:rPr>
          <w:rFonts w:ascii="Times New Roman" w:hAnsi="Times New Roman" w:eastAsia="Times New Roman" w:cs="Times New Roman"/>
          <w:b w:val="0"/>
          <w:i w:val="0"/>
          <w:color w:val="000000"/>
          <w:sz w:val="24"/>
        </w:rPr>
        <w:t xml:space="preserve">Fusang processed the 73 analysed 16S rRNA sequences without alignment (simplified pipeline, k=5,gap2) in 0.108 s for the k-mer counting plus NJ stage. Tree-based pairwise distances were compared against NCBI taxonomic classifications (Table 9). For reference-tree comparisons we rebuilt the alignment-based comparator end-to-end: the archived alignment file was found to be not genuinely aligned (pairwise identity between the two </w:t>
      </w:r>
      <w:r>
        <w:rPr>
          <w:rFonts w:ascii="Times New Roman" w:hAnsi="Times New Roman" w:eastAsia="Times New Roman" w:cs="Times New Roman"/>
          <w:b w:val="0"/>
          <w:i/>
          <w:color w:val="000000"/>
          <w:sz w:val="24"/>
        </w:rPr>
        <w:t>Escherichia</w:t>
      </w:r>
      <w:r>
        <w:rPr>
          <w:rFonts w:ascii="Times New Roman" w:hAnsi="Times New Roman" w:eastAsia="Times New Roman" w:cs="Times New Roman"/>
          <w:b w:val="0"/>
          <w:i w:val="0"/>
          <w:color w:val="000000"/>
          <w:sz w:val="24"/>
        </w:rPr>
        <w:t>/</w:t>
      </w:r>
      <w:r>
        <w:rPr>
          <w:rFonts w:ascii="Times New Roman" w:hAnsi="Times New Roman" w:eastAsia="Times New Roman" w:cs="Times New Roman"/>
          <w:b w:val="0"/>
          <w:i/>
          <w:color w:val="000000"/>
          <w:sz w:val="24"/>
        </w:rPr>
        <w:t>Bacillus</w:t>
      </w:r>
      <w:r>
        <w:rPr>
          <w:rFonts w:ascii="Times New Roman" w:hAnsi="Times New Roman" w:eastAsia="Times New Roman" w:cs="Times New Roman"/>
          <w:b w:val="0"/>
          <w:i w:val="0"/>
          <w:color w:val="000000"/>
          <w:sz w:val="24"/>
        </w:rPr>
        <w:t xml:space="preserve"> sequences fell below the 0.25 random baseline), so all sequences were realigned with MAFFT 7.526 (--localpair) and the FastTree2 tree rebuilt from it. Fusang vs this rebuilt FastTree2 tree gives nRF=0.371 — substantial but no longer near-total topological disagreement.</w:t>
      </w:r>
    </w:p>
    <w:p>
      <w:pPr>
        <w:spacing w:after="120" w:line="360" w:lineRule="auto"/>
      </w:pPr>
      <w:r>
        <w:rPr>
          <w:rFonts w:ascii="Times New Roman" w:hAnsi="Times New Roman" w:eastAsia="Times New Roman" w:cs="Times New Roman"/>
          <w:b w:val="0"/>
          <w:i w:val="0"/>
          <w:color w:val="000000"/>
          <w:sz w:val="24"/>
        </w:rPr>
        <w:t>We evaluated both trees against the NCBI taxonomy as an external reference. A taxonomic group is scored as recovered when the MRCA of all tips carrying the label has exactly that tip set. Against the true taxonomy (13 phyla, 7 with ≥2 taxa; 40 orders, 14 with ≥2), the Fusang tree recovers 3/7 assessable phyla and 10/14 assessable orders as monophyletic, while the rebuilt FastTree2 tree recovers 6/7 phyla and 11/14 orders. The RF distance against a taxonomy-derived reference tree (phylum→order→taxon containment hierarchy, polytomous where unresolved) is nRF=0.414 for Fusang vs 0.343 for FastTree2 under the conventional RF/(2n−6) normalisation (0.547 vs 0.453 under the resolution-aware RF/(s₁+s₂) normalisation; both normalisations rank the two trees identically). While Fusang detects substantial genuine signal (Table 9), it falls short of MSA-based accuracy on this dataset (Figure 6, Supplementary Figure S5). This result delineates an applicability boundary of the method rather than contradicting the indel-robustness findings on simulated data: 16S rRNA genes contain highly conserved regions where positional homology from alignment provides strong phylogenetic signal that k-mer frequency vectors, which discard positional information, cannot fully capture.</w:t>
      </w:r>
    </w:p>
    <w:p>
      <w:pPr>
        <w:spacing w:after="120" w:line="360" w:lineRule="auto"/>
      </w:pPr>
      <w:r>
        <w:rPr>
          <w:rFonts w:ascii="Times New Roman" w:hAnsi="Times New Roman" w:eastAsia="Times New Roman" w:cs="Times New Roman"/>
          <w:b/>
          <w:i w:val="0"/>
          <w:color w:val="000000"/>
          <w:sz w:val="24"/>
        </w:rPr>
        <w:t>Table 9. Real 16S rRNA validation (n=73 taxa spanning 13 phyla and 40 orders under the corrected NCBI Taxonomy annotation; simplified pipeline, k=5,gap2).</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Taxonomic Level</w:t>
            </w:r>
          </w:p>
        </w:tc>
        <w:tc>
          <w:tcPr>
            <w:tcW w:type="dxa" w:w="1805"/>
          </w:tcPr>
          <w:p>
            <w:pPr>
              <w:spacing w:after="0" w:before="0" w:line="240" w:lineRule="auto"/>
            </w:pPr>
            <w:r>
              <w:rPr>
                <w:rFonts w:ascii="Times New Roman" w:hAnsi="Times New Roman" w:eastAsia="Times New Roman" w:cs="Times New Roman"/>
                <w:b/>
                <w:i w:val="0"/>
                <w:color w:val="000000"/>
                <w:sz w:val="18"/>
              </w:rPr>
              <w:t>Same-group Distance</w:t>
            </w:r>
          </w:p>
        </w:tc>
        <w:tc>
          <w:tcPr>
            <w:tcW w:type="dxa" w:w="1805"/>
          </w:tcPr>
          <w:p>
            <w:pPr>
              <w:spacing w:after="0" w:before="0" w:line="240" w:lineRule="auto"/>
            </w:pPr>
            <w:r>
              <w:rPr>
                <w:rFonts w:ascii="Times New Roman" w:hAnsi="Times New Roman" w:eastAsia="Times New Roman" w:cs="Times New Roman"/>
                <w:b/>
                <w:i w:val="0"/>
                <w:color w:val="000000"/>
                <w:sz w:val="18"/>
              </w:rPr>
              <w:t>Different-group Distance</w:t>
            </w:r>
          </w:p>
        </w:tc>
        <w:tc>
          <w:tcPr>
            <w:tcW w:type="dxa" w:w="1805"/>
          </w:tcPr>
          <w:p>
            <w:pPr>
              <w:spacing w:after="0" w:before="0" w:line="240" w:lineRule="auto"/>
            </w:pPr>
            <w:r>
              <w:rPr>
                <w:rFonts w:ascii="Times New Roman" w:hAnsi="Times New Roman" w:eastAsia="Times New Roman" w:cs="Times New Roman"/>
                <w:b/>
                <w:i w:val="0"/>
                <w:color w:val="000000"/>
                <w:sz w:val="18"/>
              </w:rPr>
              <w:t>Reduction</w:t>
            </w:r>
          </w:p>
        </w:tc>
        <w:tc>
          <w:tcPr>
            <w:tcW w:type="dxa" w:w="1805"/>
          </w:tcPr>
          <w:p>
            <w:pPr>
              <w:spacing w:after="0" w:before="0" w:line="240" w:lineRule="auto"/>
            </w:pPr>
            <w:r>
              <w:rPr>
                <w:rFonts w:ascii="Times New Roman" w:hAnsi="Times New Roman" w:eastAsia="Times New Roman" w:cs="Times New Roman"/>
                <w:b/>
                <w:i w:val="0"/>
                <w:color w:val="000000"/>
                <w:sz w:val="18"/>
              </w:rPr>
              <w:t>P-value</w:t>
            </w:r>
          </w:p>
        </w:tc>
      </w:tr>
      <w:tr>
        <w:tc>
          <w:tcPr>
            <w:tcW w:type="dxa" w:w="1805"/>
          </w:tcPr>
          <w:p>
            <w:pPr>
              <w:spacing w:after="0" w:before="0" w:line="240" w:lineRule="auto"/>
            </w:pPr>
            <w:r>
              <w:rPr>
                <w:rFonts w:ascii="Times New Roman" w:hAnsi="Times New Roman" w:eastAsia="Times New Roman" w:cs="Times New Roman"/>
                <w:b w:val="0"/>
                <w:i w:val="0"/>
                <w:color w:val="000000"/>
                <w:sz w:val="18"/>
              </w:rPr>
              <w:t>Phylum</w:t>
            </w:r>
          </w:p>
        </w:tc>
        <w:tc>
          <w:tcPr>
            <w:tcW w:type="dxa" w:w="1805"/>
          </w:tcPr>
          <w:p>
            <w:pPr>
              <w:spacing w:after="0" w:before="0" w:line="240" w:lineRule="auto"/>
            </w:pPr>
            <w:r>
              <w:rPr>
                <w:rFonts w:ascii="Times New Roman" w:hAnsi="Times New Roman" w:eastAsia="Times New Roman" w:cs="Times New Roman"/>
                <w:b w:val="0"/>
                <w:i w:val="0"/>
                <w:color w:val="000000"/>
                <w:sz w:val="18"/>
              </w:rPr>
              <w:t>0.1763</w:t>
            </w:r>
          </w:p>
        </w:tc>
        <w:tc>
          <w:tcPr>
            <w:tcW w:type="dxa" w:w="1805"/>
          </w:tcPr>
          <w:p>
            <w:pPr>
              <w:spacing w:after="0" w:before="0" w:line="240" w:lineRule="auto"/>
            </w:pPr>
            <w:r>
              <w:rPr>
                <w:rFonts w:ascii="Times New Roman" w:hAnsi="Times New Roman" w:eastAsia="Times New Roman" w:cs="Times New Roman"/>
                <w:b w:val="0"/>
                <w:i w:val="0"/>
                <w:color w:val="000000"/>
                <w:sz w:val="18"/>
              </w:rPr>
              <w:t>0.2570</w:t>
            </w:r>
          </w:p>
        </w:tc>
        <w:tc>
          <w:tcPr>
            <w:tcW w:type="dxa" w:w="1805"/>
          </w:tcPr>
          <w:p>
            <w:pPr>
              <w:spacing w:after="0" w:before="0" w:line="240" w:lineRule="auto"/>
            </w:pPr>
            <w:r>
              <w:rPr>
                <w:rFonts w:ascii="Times New Roman" w:hAnsi="Times New Roman" w:eastAsia="Times New Roman" w:cs="Times New Roman"/>
                <w:b/>
                <w:i w:val="0"/>
                <w:color w:val="000000"/>
                <w:sz w:val="18"/>
              </w:rPr>
              <w:t>31.4%</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Order</w:t>
            </w:r>
          </w:p>
        </w:tc>
        <w:tc>
          <w:tcPr>
            <w:tcW w:type="dxa" w:w="1805"/>
          </w:tcPr>
          <w:p>
            <w:pPr>
              <w:spacing w:after="0" w:before="0" w:line="240" w:lineRule="auto"/>
            </w:pPr>
            <w:r>
              <w:rPr>
                <w:rFonts w:ascii="Times New Roman" w:hAnsi="Times New Roman" w:eastAsia="Times New Roman" w:cs="Times New Roman"/>
                <w:b w:val="0"/>
                <w:i w:val="0"/>
                <w:color w:val="000000"/>
                <w:sz w:val="18"/>
              </w:rPr>
              <w:t>0.1066</w:t>
            </w:r>
          </w:p>
        </w:tc>
        <w:tc>
          <w:tcPr>
            <w:tcW w:type="dxa" w:w="1805"/>
          </w:tcPr>
          <w:p>
            <w:pPr>
              <w:spacing w:after="0" w:before="0" w:line="240" w:lineRule="auto"/>
            </w:pPr>
            <w:r>
              <w:rPr>
                <w:rFonts w:ascii="Times New Roman" w:hAnsi="Times New Roman" w:eastAsia="Times New Roman" w:cs="Times New Roman"/>
                <w:b w:val="0"/>
                <w:i w:val="0"/>
                <w:color w:val="000000"/>
                <w:sz w:val="18"/>
              </w:rPr>
              <w:t>0.2451</w:t>
            </w:r>
          </w:p>
        </w:tc>
        <w:tc>
          <w:tcPr>
            <w:tcW w:type="dxa" w:w="1805"/>
          </w:tcPr>
          <w:p>
            <w:pPr>
              <w:spacing w:after="0" w:before="0" w:line="240" w:lineRule="auto"/>
            </w:pPr>
            <w:r>
              <w:rPr>
                <w:rFonts w:ascii="Times New Roman" w:hAnsi="Times New Roman" w:eastAsia="Times New Roman" w:cs="Times New Roman"/>
                <w:b/>
                <w:i w:val="0"/>
                <w:color w:val="000000"/>
                <w:sz w:val="18"/>
              </w:rPr>
              <w:t>56.5%</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r>
        <w:tc>
          <w:tcPr>
            <w:tcW w:type="dxa" w:w="1805"/>
          </w:tcPr>
          <w:p>
            <w:pPr>
              <w:spacing w:after="0" w:before="0" w:line="240" w:lineRule="auto"/>
            </w:pPr>
            <w:r>
              <w:rPr>
                <w:rFonts w:ascii="Times New Roman" w:hAnsi="Times New Roman" w:eastAsia="Times New Roman" w:cs="Times New Roman"/>
                <w:b w:val="0"/>
                <w:i w:val="0"/>
                <w:color w:val="000000"/>
                <w:sz w:val="18"/>
              </w:rPr>
              <w:t>Family</w:t>
            </w:r>
          </w:p>
        </w:tc>
        <w:tc>
          <w:tcPr>
            <w:tcW w:type="dxa" w:w="1805"/>
          </w:tcPr>
          <w:p>
            <w:pPr>
              <w:spacing w:after="0" w:before="0" w:line="240" w:lineRule="auto"/>
            </w:pPr>
            <w:r>
              <w:rPr>
                <w:rFonts w:ascii="Times New Roman" w:hAnsi="Times New Roman" w:eastAsia="Times New Roman" w:cs="Times New Roman"/>
                <w:b w:val="0"/>
                <w:i w:val="0"/>
                <w:color w:val="000000"/>
                <w:sz w:val="18"/>
              </w:rPr>
              <w:t>0.0709</w:t>
            </w:r>
          </w:p>
        </w:tc>
        <w:tc>
          <w:tcPr>
            <w:tcW w:type="dxa" w:w="1805"/>
          </w:tcPr>
          <w:p>
            <w:pPr>
              <w:spacing w:after="0" w:before="0" w:line="240" w:lineRule="auto"/>
            </w:pPr>
            <w:r>
              <w:rPr>
                <w:rFonts w:ascii="Times New Roman" w:hAnsi="Times New Roman" w:eastAsia="Times New Roman" w:cs="Times New Roman"/>
                <w:b w:val="0"/>
                <w:i w:val="0"/>
                <w:color w:val="000000"/>
                <w:sz w:val="18"/>
              </w:rPr>
              <w:t>0.2440</w:t>
            </w:r>
          </w:p>
        </w:tc>
        <w:tc>
          <w:tcPr>
            <w:tcW w:type="dxa" w:w="1805"/>
          </w:tcPr>
          <w:p>
            <w:pPr>
              <w:spacing w:after="0" w:before="0" w:line="240" w:lineRule="auto"/>
            </w:pPr>
            <w:r>
              <w:rPr>
                <w:rFonts w:ascii="Times New Roman" w:hAnsi="Times New Roman" w:eastAsia="Times New Roman" w:cs="Times New Roman"/>
                <w:b/>
                <w:i w:val="0"/>
                <w:color w:val="000000"/>
                <w:sz w:val="18"/>
              </w:rPr>
              <w:t>71.0%</w:t>
            </w:r>
          </w:p>
        </w:tc>
        <w:tc>
          <w:tcPr>
            <w:tcW w:type="dxa" w:w="1805"/>
          </w:tcPr>
          <w:p>
            <w:pPr>
              <w:spacing w:after="0" w:before="0" w:line="240" w:lineRule="auto"/>
            </w:pPr>
            <w:r>
              <w:rPr>
                <w:rFonts w:ascii="Times New Roman" w:hAnsi="Times New Roman" w:eastAsia="Times New Roman" w:cs="Times New Roman"/>
                <w:b w:val="0"/>
                <w:i w:val="0"/>
                <w:color w:val="000000"/>
                <w:sz w:val="18"/>
              </w:rPr>
              <w:t>&lt;1×10⁻⁴</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P-values are from two-sided permutation tests comparing mean same-group versus different-group tree-based pairwise (patristic) distances with taxonomic group labels permuted (test statistic: difference in group means; 10,000 random permutations per level; </w:t>
      </w:r>
      <w:r>
        <w:rPr>
          <w:rFonts w:ascii="Consolas" w:hAnsi="Consolas" w:eastAsia="Consolas" w:cs="Consolas"/>
          <w:b w:val="0"/>
          <w:i w:val="0"/>
          <w:color w:val="000000"/>
          <w:sz w:val="24"/>
        </w:rPr>
        <w:t>p &lt; 1×10⁻⁴</w:t>
      </w:r>
      <w:r>
        <w:rPr>
          <w:rFonts w:ascii="Times New Roman" w:hAnsi="Times New Roman" w:eastAsia="Times New Roman" w:cs="Times New Roman"/>
          <w:b w:val="0"/>
          <w:i w:val="0"/>
          <w:color w:val="000000"/>
          <w:sz w:val="24"/>
        </w:rPr>
        <w:t xml:space="preserve"> means no permutation reached the observed statistic). Fusang recovers significant phylogenetic signal at every taxonomic level, with the reduction rising monotonically from phylum (31.4%) to genus (78.6%) — the gradient itself evidencing genuine rather than artefactual signal. On the same sequences the alignment-based FastTree2 tree attains larger reductions (phylum 55.5%, order 80.4%, family 90.1%; all p &lt; 1×10⁻⁴), consistent with the applicability boundary discussed below. Absolute same/different-group distances are not comparable across trees (Fusang NJ branch lengths vs FastTree2 substitution units); only the reductions and p-values are. All values are computed under the corrected NCBI Taxonomy annotation (Supplementary Note S17); an earlier evaluation against the erroneous shipped labels is superseded.</w:t>
      </w:r>
    </w:p>
    <w:p>
      <w:pPr>
        <w:spacing w:after="120" w:line="360" w:lineRule="auto"/>
      </w:pPr>
      <w:r>
        <w:rPr>
          <w:rFonts w:ascii="Times New Roman" w:hAnsi="Times New Roman" w:eastAsia="Times New Roman" w:cs="Times New Roman"/>
          <w:b w:val="0"/>
          <w:i w:val="0"/>
          <w:color w:val="000000"/>
          <w:sz w:val="24"/>
        </w:rPr>
        <w:t>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keepNext/>
        <w:spacing w:before="200" w:after="120" w:line="276" w:lineRule="auto"/>
      </w:pPr>
      <w:r>
        <w:rPr>
          <w:rFonts w:ascii="Times New Roman" w:hAnsi="Times New Roman" w:eastAsia="Times New Roman" w:cs="Times New Roman"/>
          <w:b/>
          <w:i w:val="0"/>
          <w:color w:val="000000"/>
          <w:sz w:val="26"/>
        </w:rPr>
        <w:t>Cross-domain validation: AFproject SwissTree protein gene trees</w:t>
      </w:r>
    </w:p>
    <w:p>
      <w:pPr>
        <w:spacing w:after="120" w:line="360" w:lineRule="auto"/>
      </w:pPr>
      <w:r>
        <w:rPr>
          <w:rFonts w:ascii="Times New Roman" w:hAnsi="Times New Roman" w:eastAsia="Times New Roman" w:cs="Times New Roman"/>
          <w:b w:val="0"/>
          <w:i w:val="0"/>
          <w:color w:val="000000"/>
          <w:sz w:val="24"/>
        </w:rPr>
        <w:t>To assess whether Fusang's k-mer approach generalizes beyond DNA to protein sequences, we benchmarked on the AFproject SwissTree gene tree dataset [14] — the community standard for alignment-free gene tree inference. This benchmark comprises 11 protein gene families (21–159 taxa, 111–576 amino acids per sequence) with trusted reference trees from the SwissTree database (Table 10; per-family data: Supplementary Tables S11–S12).</w:t>
      </w:r>
    </w:p>
    <w:p>
      <w:pPr>
        <w:spacing w:after="120" w:line="360" w:lineRule="auto"/>
      </w:pPr>
      <w:r>
        <w:rPr>
          <w:rFonts w:ascii="Times New Roman" w:hAnsi="Times New Roman" w:eastAsia="Times New Roman" w:cs="Times New Roman"/>
          <w:b/>
          <w:i w:val="0"/>
          <w:color w:val="000000"/>
          <w:sz w:val="24"/>
        </w:rPr>
        <w:t>Table 10. SwissTree gene tree benchmark (11 families, protein sequences, AFproject standard; scored with the standard root-independent unrooted RF). Per-family data: Supplementary Tables S11–S12.</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before="0" w:line="240" w:lineRule="auto"/>
            </w:pPr>
            <w:r>
              <w:rPr>
                <w:rFonts w:ascii="Times New Roman" w:hAnsi="Times New Roman" w:eastAsia="Times New Roman" w:cs="Times New Roman"/>
                <w:b/>
                <w:i w:val="0"/>
                <w:color w:val="000000"/>
                <w:sz w:val="18"/>
              </w:rPr>
              <w:t>Method</w:t>
            </w:r>
          </w:p>
        </w:tc>
        <w:tc>
          <w:tcPr>
            <w:tcW w:type="dxa" w:w="1805"/>
          </w:tcPr>
          <w:p>
            <w:pPr>
              <w:spacing w:after="0" w:before="0" w:line="240" w:lineRule="auto"/>
            </w:pPr>
            <w:r>
              <w:rPr>
                <w:rFonts w:ascii="Times New Roman" w:hAnsi="Times New Roman" w:eastAsia="Times New Roman" w:cs="Times New Roman"/>
                <w:b/>
                <w:i w:val="0"/>
                <w:color w:val="000000"/>
                <w:sz w:val="18"/>
              </w:rPr>
              <w:t>Configuration</w:t>
            </w:r>
          </w:p>
        </w:tc>
        <w:tc>
          <w:tcPr>
            <w:tcW w:type="dxa" w:w="1805"/>
          </w:tcPr>
          <w:p>
            <w:pPr>
              <w:spacing w:after="0" w:before="0" w:line="240" w:lineRule="auto"/>
            </w:pPr>
            <w:r>
              <w:rPr>
                <w:rFonts w:ascii="Times New Roman" w:hAnsi="Times New Roman" w:eastAsia="Times New Roman" w:cs="Times New Roman"/>
                <w:b/>
                <w:i w:val="0"/>
                <w:color w:val="000000"/>
                <w:sz w:val="18"/>
              </w:rPr>
              <w:t>Mean nRF ↓</w:t>
            </w:r>
          </w:p>
        </w:tc>
        <w:tc>
          <w:tcPr>
            <w:tcW w:type="dxa" w:w="1805"/>
          </w:tcPr>
          <w:p>
            <w:pPr>
              <w:spacing w:after="0" w:before="0" w:line="240" w:lineRule="auto"/>
            </w:pPr>
            <w:r>
              <w:rPr>
                <w:rFonts w:ascii="Times New Roman" w:hAnsi="Times New Roman" w:eastAsia="Times New Roman" w:cs="Times New Roman"/>
                <w:b/>
                <w:i w:val="0"/>
                <w:color w:val="000000"/>
                <w:sz w:val="18"/>
              </w:rPr>
              <w:t>Std Dev</w:t>
            </w:r>
          </w:p>
        </w:tc>
        <w:tc>
          <w:tcPr>
            <w:tcW w:type="dxa" w:w="1805"/>
          </w:tcPr>
          <w:p>
            <w:pPr>
              <w:spacing w:after="0" w:before="0" w:line="240" w:lineRule="auto"/>
            </w:pPr>
            <w:r>
              <w:rPr>
                <w:rFonts w:ascii="Times New Roman" w:hAnsi="Times New Roman" w:eastAsia="Times New Roman" w:cs="Times New Roman"/>
                <w:b/>
                <w:i w:val="0"/>
                <w:color w:val="000000"/>
                <w:sz w:val="18"/>
              </w:rPr>
              <w:t>Wins /11</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spaced (pattern </w:t>
            </w:r>
            <w:r>
              <w:rPr>
                <w:rFonts w:ascii="Consolas" w:hAnsi="Consolas" w:eastAsia="Consolas" w:cs="Consolas"/>
                <w:b w:val="0"/>
                <w:i w:val="0"/>
                <w:color w:val="000000"/>
                <w:sz w:val="18"/>
              </w:rPr>
              <w:t>11011</w:t>
            </w:r>
            <w:r>
              <w:rPr>
                <w:rFonts w:ascii="Times New Roman" w:hAnsi="Times New Roman" w:eastAsia="Times New Roman" w:cs="Times New Roman"/>
                <w:b w:val="0"/>
                <w:i w:val="0"/>
                <w:color w:val="000000"/>
                <w:sz w:val="18"/>
              </w:rPr>
              <w:t>)</w:t>
            </w:r>
          </w:p>
        </w:tc>
        <w:tc>
          <w:tcPr>
            <w:tcW w:type="dxa" w:w="1805"/>
          </w:tcPr>
          <w:p>
            <w:pPr>
              <w:spacing w:after="0" w:before="0" w:line="240" w:lineRule="auto"/>
            </w:pPr>
            <w:r>
              <w:rPr>
                <w:rFonts w:ascii="Times New Roman" w:hAnsi="Times New Roman" w:eastAsia="Times New Roman" w:cs="Times New Roman"/>
                <w:b w:val="0"/>
                <w:i w:val="0"/>
                <w:color w:val="000000"/>
                <w:sz w:val="18"/>
              </w:rPr>
              <w:t>4 sampled positions, span 5</w:t>
            </w:r>
          </w:p>
        </w:tc>
        <w:tc>
          <w:tcPr>
            <w:tcW w:type="dxa" w:w="1805"/>
          </w:tcPr>
          <w:p>
            <w:pPr>
              <w:spacing w:after="0" w:before="0" w:line="240" w:lineRule="auto"/>
            </w:pPr>
            <w:r>
              <w:rPr>
                <w:rFonts w:ascii="Times New Roman" w:hAnsi="Times New Roman" w:eastAsia="Times New Roman" w:cs="Times New Roman"/>
                <w:b/>
                <w:i w:val="0"/>
                <w:color w:val="000000"/>
                <w:sz w:val="18"/>
              </w:rPr>
              <w:t>0.329</w:t>
            </w:r>
          </w:p>
        </w:tc>
        <w:tc>
          <w:tcPr>
            <w:tcW w:type="dxa" w:w="1805"/>
          </w:tcPr>
          <w:p>
            <w:pPr>
              <w:spacing w:after="0" w:before="0" w:line="240" w:lineRule="auto"/>
            </w:pPr>
            <w:r>
              <w:rPr>
                <w:rFonts w:ascii="Times New Roman" w:hAnsi="Times New Roman" w:eastAsia="Times New Roman" w:cs="Times New Roman"/>
                <w:b w:val="0"/>
                <w:i w:val="0"/>
                <w:color w:val="000000"/>
                <w:sz w:val="18"/>
              </w:rPr>
              <w:t>0.148</w:t>
            </w:r>
          </w:p>
        </w:tc>
        <w:tc>
          <w:tcPr>
            <w:tcW w:type="dxa" w:w="1805"/>
          </w:tcPr>
          <w:p>
            <w:pPr>
              <w:spacing w:after="0" w:before="0" w:line="240" w:lineRule="auto"/>
            </w:pPr>
            <w:r>
              <w:rPr>
                <w:rFonts w:ascii="Times New Roman" w:hAnsi="Times New Roman" w:eastAsia="Times New Roman" w:cs="Times New Roman"/>
                <w:b w:val="0"/>
                <w:i w:val="0"/>
                <w:color w:val="000000"/>
                <w:sz w:val="18"/>
              </w:rPr>
              <w:t>8</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k=5</w:t>
            </w:r>
          </w:p>
        </w:tc>
        <w:tc>
          <w:tcPr>
            <w:tcW w:type="dxa" w:w="1805"/>
          </w:tcPr>
          <w:p>
            <w:pPr>
              <w:spacing w:after="0" w:before="0" w:line="240" w:lineRule="auto"/>
            </w:pPr>
            <w:r>
              <w:rPr>
                <w:rFonts w:ascii="Times New Roman" w:hAnsi="Times New Roman" w:eastAsia="Times New Roman" w:cs="Times New Roman"/>
                <w:b w:val="0"/>
                <w:i w:val="0"/>
                <w:color w:val="000000"/>
                <w:sz w:val="18"/>
              </w:rPr>
              <w:t>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0.343</w:t>
            </w:r>
          </w:p>
        </w:tc>
        <w:tc>
          <w:tcPr>
            <w:tcW w:type="dxa" w:w="1805"/>
          </w:tcPr>
          <w:p>
            <w:pPr>
              <w:spacing w:after="0" w:before="0" w:line="240" w:lineRule="auto"/>
            </w:pPr>
            <w:r>
              <w:rPr>
                <w:rFonts w:ascii="Times New Roman" w:hAnsi="Times New Roman" w:eastAsia="Times New Roman" w:cs="Times New Roman"/>
                <w:b w:val="0"/>
                <w:i w:val="0"/>
                <w:color w:val="000000"/>
                <w:sz w:val="18"/>
              </w:rPr>
              <w:t>0.156</w:t>
            </w:r>
          </w:p>
        </w:tc>
        <w:tc>
          <w:tcPr>
            <w:tcW w:type="dxa" w:w="1805"/>
          </w:tcPr>
          <w:p>
            <w:pPr>
              <w:spacing w:after="0" w:before="0" w:line="240" w:lineRule="auto"/>
            </w:pPr>
            <w:r>
              <w:rPr>
                <w:rFonts w:ascii="Times New Roman" w:hAnsi="Times New Roman" w:eastAsia="Times New Roman" w:cs="Times New Roman"/>
                <w:b w:val="0"/>
                <w:i w:val="0"/>
                <w:color w:val="000000"/>
                <w:sz w:val="18"/>
              </w:rPr>
              <w:t>5</w:t>
            </w:r>
          </w:p>
        </w:tc>
      </w:tr>
      <w:tr>
        <w:tc>
          <w:tcPr>
            <w:tcW w:type="dxa" w:w="1805"/>
          </w:tcPr>
          <w:p>
            <w:pPr>
              <w:spacing w:after="0" w:before="0" w:line="240" w:lineRule="auto"/>
            </w:pPr>
            <w:r>
              <w:rPr>
                <w:rFonts w:ascii="Times New Roman" w:hAnsi="Times New Roman" w:eastAsia="Times New Roman" w:cs="Times New Roman"/>
                <w:b w:val="0"/>
                <w:i w:val="0"/>
                <w:color w:val="000000"/>
                <w:sz w:val="18"/>
              </w:rPr>
              <w:t>K-mer cosine k=4</w:t>
            </w:r>
          </w:p>
        </w:tc>
        <w:tc>
          <w:tcPr>
            <w:tcW w:type="dxa" w:w="1805"/>
          </w:tcPr>
          <w:p>
            <w:pPr>
              <w:spacing w:after="0" w:before="0" w:line="240" w:lineRule="auto"/>
            </w:pPr>
            <w:r>
              <w:rPr>
                <w:rFonts w:ascii="Times New Roman" w:hAnsi="Times New Roman" w:eastAsia="Times New Roman" w:cs="Times New Roman"/>
                <w:b w:val="0"/>
                <w:i w:val="0"/>
                <w:color w:val="000000"/>
                <w:sz w:val="18"/>
              </w:rPr>
              <w:t>Contiguous</w:t>
            </w:r>
          </w:p>
        </w:tc>
        <w:tc>
          <w:tcPr>
            <w:tcW w:type="dxa" w:w="1805"/>
          </w:tcPr>
          <w:p>
            <w:pPr>
              <w:spacing w:after="0" w:before="0" w:line="240" w:lineRule="auto"/>
            </w:pPr>
            <w:r>
              <w:rPr>
                <w:rFonts w:ascii="Times New Roman" w:hAnsi="Times New Roman" w:eastAsia="Times New Roman" w:cs="Times New Roman"/>
                <w:b w:val="0"/>
                <w:i w:val="0"/>
                <w:color w:val="000000"/>
                <w:sz w:val="18"/>
              </w:rPr>
              <w:t>0.346</w:t>
            </w:r>
          </w:p>
        </w:tc>
        <w:tc>
          <w:tcPr>
            <w:tcW w:type="dxa" w:w="1805"/>
          </w:tcPr>
          <w:p>
            <w:pPr>
              <w:spacing w:after="0" w:before="0" w:line="240" w:lineRule="auto"/>
            </w:pPr>
            <w:r>
              <w:rPr>
                <w:rFonts w:ascii="Times New Roman" w:hAnsi="Times New Roman" w:eastAsia="Times New Roman" w:cs="Times New Roman"/>
                <w:b w:val="0"/>
                <w:i w:val="0"/>
                <w:color w:val="000000"/>
                <w:sz w:val="18"/>
              </w:rPr>
              <w:t>0.169</w:t>
            </w:r>
          </w:p>
        </w:tc>
        <w:tc>
          <w:tcPr>
            <w:tcW w:type="dxa" w:w="1805"/>
          </w:tcPr>
          <w:p>
            <w:pPr>
              <w:spacing w:after="0" w:before="0" w:line="240" w:lineRule="auto"/>
            </w:pPr>
            <w:r>
              <w:rPr>
                <w:rFonts w:ascii="Times New Roman" w:hAnsi="Times New Roman" w:eastAsia="Times New Roman" w:cs="Times New Roman"/>
                <w:b w:val="0"/>
                <w:i w:val="0"/>
                <w:color w:val="000000"/>
                <w:sz w:val="18"/>
              </w:rPr>
              <w:t>3</w:t>
            </w:r>
          </w:p>
        </w:tc>
      </w:tr>
      <w:tr>
        <w:tc>
          <w:tcPr>
            <w:tcW w:type="dxa" w:w="1805"/>
          </w:tcPr>
          <w:p>
            <w:pPr>
              <w:spacing w:after="0" w:before="0" w:line="240" w:lineRule="auto"/>
            </w:pPr>
            <w:r>
              <w:rPr>
                <w:rFonts w:ascii="Times New Roman" w:hAnsi="Times New Roman" w:eastAsia="Times New Roman" w:cs="Times New Roman"/>
                <w:b/>
                <w:i w:val="0"/>
                <w:color w:val="000000"/>
                <w:sz w:val="18"/>
              </w:rPr>
              <w:t>Fusang</w:t>
            </w:r>
            <w:r>
              <w:rPr>
                <w:rFonts w:ascii="Times New Roman" w:hAnsi="Times New Roman" w:eastAsia="Times New Roman" w:cs="Times New Roman"/>
                <w:b w:val="0"/>
                <w:i w:val="0"/>
                <w:color w:val="000000"/>
                <w:sz w:val="18"/>
              </w:rPr>
              <w:t xml:space="preserve"> spaced (pattern </w:t>
            </w:r>
            <w:r>
              <w:rPr>
                <w:rFonts w:ascii="Consolas" w:hAnsi="Consolas" w:eastAsia="Consolas" w:cs="Consolas"/>
                <w:b w:val="0"/>
                <w:i w:val="0"/>
                <w:color w:val="000000"/>
                <w:sz w:val="18"/>
              </w:rPr>
              <w:t>1011</w:t>
            </w:r>
            <w:r>
              <w:rPr>
                <w:rFonts w:ascii="Times New Roman" w:hAnsi="Times New Roman" w:eastAsia="Times New Roman" w:cs="Times New Roman"/>
                <w:b w:val="0"/>
                <w:i w:val="0"/>
                <w:color w:val="000000"/>
                <w:sz w:val="18"/>
              </w:rPr>
              <w:t>)</w:t>
            </w:r>
          </w:p>
        </w:tc>
        <w:tc>
          <w:tcPr>
            <w:tcW w:type="dxa" w:w="1805"/>
          </w:tcPr>
          <w:p>
            <w:pPr>
              <w:spacing w:after="0" w:before="0" w:line="240" w:lineRule="auto"/>
            </w:pPr>
            <w:r>
              <w:rPr>
                <w:rFonts w:ascii="Times New Roman" w:hAnsi="Times New Roman" w:eastAsia="Times New Roman" w:cs="Times New Roman"/>
                <w:b w:val="0"/>
                <w:i w:val="0"/>
                <w:color w:val="000000"/>
                <w:sz w:val="18"/>
              </w:rPr>
              <w:t>3 sampled positions, span 4</w:t>
            </w:r>
          </w:p>
        </w:tc>
        <w:tc>
          <w:tcPr>
            <w:tcW w:type="dxa" w:w="1805"/>
          </w:tcPr>
          <w:p>
            <w:pPr>
              <w:spacing w:after="0" w:before="0" w:line="240" w:lineRule="auto"/>
            </w:pPr>
            <w:r>
              <w:rPr>
                <w:rFonts w:ascii="Times New Roman" w:hAnsi="Times New Roman" w:eastAsia="Times New Roman" w:cs="Times New Roman"/>
                <w:b w:val="0"/>
                <w:i w:val="0"/>
                <w:color w:val="000000"/>
                <w:sz w:val="18"/>
              </w:rPr>
              <w:t>0.354</w:t>
            </w:r>
          </w:p>
        </w:tc>
        <w:tc>
          <w:tcPr>
            <w:tcW w:type="dxa" w:w="1805"/>
          </w:tcPr>
          <w:p>
            <w:pPr>
              <w:spacing w:after="0" w:before="0" w:line="240" w:lineRule="auto"/>
            </w:pPr>
            <w:r>
              <w:rPr>
                <w:rFonts w:ascii="Times New Roman" w:hAnsi="Times New Roman" w:eastAsia="Times New Roman" w:cs="Times New Roman"/>
                <w:b w:val="0"/>
                <w:i w:val="0"/>
                <w:color w:val="000000"/>
                <w:sz w:val="18"/>
              </w:rPr>
              <w:t>0.158</w:t>
            </w:r>
          </w:p>
        </w:tc>
        <w:tc>
          <w:tcPr>
            <w:tcW w:type="dxa" w:w="1805"/>
          </w:tcPr>
          <w:p>
            <w:pPr>
              <w:spacing w:after="0" w:before="0" w:line="240" w:lineRule="auto"/>
            </w:pPr>
            <w:r>
              <w:rPr>
                <w:rFonts w:ascii="Times New Roman" w:hAnsi="Times New Roman" w:eastAsia="Times New Roman" w:cs="Times New Roman"/>
                <w:b w:val="0"/>
                <w:i w:val="0"/>
                <w:color w:val="000000"/>
                <w:sz w:val="18"/>
              </w:rPr>
              <w:t>3</w:t>
            </w:r>
          </w:p>
        </w:tc>
      </w:tr>
      <w:tr>
        <w:tc>
          <w:tcPr>
            <w:tcW w:type="dxa" w:w="1805"/>
          </w:tcPr>
          <w:p>
            <w:pPr>
              <w:spacing w:after="0" w:before="0" w:line="240" w:lineRule="auto"/>
            </w:pPr>
            <w:r>
              <w:rPr>
                <w:rFonts w:ascii="Times New Roman" w:hAnsi="Times New Roman" w:eastAsia="Times New Roman" w:cs="Times New Roman"/>
                <w:b w:val="0"/>
                <w:i w:val="0"/>
                <w:color w:val="000000"/>
                <w:sz w:val="18"/>
              </w:rPr>
              <w:t>Co-phylog (halfctx=11, k=23)</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w:t>
            </w:r>
          </w:p>
        </w:tc>
        <w:tc>
          <w:tcPr>
            <w:tcW w:type="dxa" w:w="1805"/>
          </w:tcPr>
          <w:p>
            <w:pPr>
              <w:spacing w:after="0" w:before="0" w:line="240" w:lineRule="auto"/>
            </w:pPr>
            <w:r>
              <w:rPr>
                <w:rFonts w:ascii="Times New Roman" w:hAnsi="Times New Roman" w:eastAsia="Times New Roman" w:cs="Times New Roman"/>
                <w:b w:val="0"/>
                <w:i w:val="0"/>
                <w:color w:val="000000"/>
                <w:sz w:val="18"/>
              </w:rPr>
              <w:t>0.727</w:t>
            </w:r>
          </w:p>
        </w:tc>
        <w:tc>
          <w:tcPr>
            <w:tcW w:type="dxa" w:w="1805"/>
          </w:tcPr>
          <w:p>
            <w:pPr>
              <w:spacing w:after="0" w:before="0" w:line="240" w:lineRule="auto"/>
            </w:pPr>
            <w:r>
              <w:rPr>
                <w:rFonts w:ascii="Times New Roman" w:hAnsi="Times New Roman" w:eastAsia="Times New Roman" w:cs="Times New Roman"/>
                <w:b w:val="0"/>
                <w:i w:val="0"/>
                <w:color w:val="000000"/>
                <w:sz w:val="18"/>
              </w:rPr>
              <w:t>0.109</w:t>
            </w:r>
          </w:p>
        </w:tc>
        <w:tc>
          <w:tcPr>
            <w:tcW w:type="dxa" w:w="1805"/>
          </w:tcPr>
          <w:p>
            <w:pPr>
              <w:spacing w:after="0" w:before="0" w:line="240" w:lineRule="auto"/>
            </w:pPr>
            <w:r>
              <w:rPr>
                <w:rFonts w:ascii="Times New Roman" w:hAnsi="Times New Roman" w:eastAsia="Times New Roman" w:cs="Times New Roman"/>
                <w:b w:val="0"/>
                <w:i w:val="0"/>
                <w:color w:val="000000"/>
                <w:sz w:val="18"/>
              </w:rPr>
              <w:t>0</w:t>
            </w:r>
          </w:p>
        </w:tc>
      </w:tr>
      <w:tr>
        <w:tc>
          <w:tcPr>
            <w:tcW w:type="dxa" w:w="1805"/>
          </w:tcPr>
          <w:p>
            <w:pPr>
              <w:spacing w:after="0" w:before="0" w:line="240" w:lineRule="auto"/>
            </w:pPr>
            <w:r>
              <w:rPr>
                <w:rFonts w:ascii="Times New Roman" w:hAnsi="Times New Roman" w:eastAsia="Times New Roman" w:cs="Times New Roman"/>
                <w:b w:val="0"/>
                <w:i w:val="0"/>
                <w:color w:val="000000"/>
                <w:sz w:val="18"/>
              </w:rPr>
              <w:t>Co-phylog (halfctx=5, k=11)</w:t>
            </w:r>
          </w:p>
        </w:tc>
        <w:tc>
          <w:tcPr>
            <w:tcW w:type="dxa" w:w="1805"/>
          </w:tcPr>
          <w:p>
            <w:pPr>
              <w:spacing w:after="0" w:before="0" w:line="240" w:lineRule="auto"/>
            </w:pPr>
            <w:r>
              <w:rPr>
                <w:rFonts w:ascii="Times New Roman" w:hAnsi="Times New Roman" w:eastAsia="Times New Roman" w:cs="Times New Roman"/>
                <w:b w:val="0"/>
                <w:i w:val="0"/>
                <w:color w:val="000000"/>
                <w:sz w:val="18"/>
              </w:rPr>
              <w:t>Context-object</w:t>
            </w:r>
          </w:p>
        </w:tc>
        <w:tc>
          <w:tcPr>
            <w:tcW w:type="dxa" w:w="1805"/>
          </w:tcPr>
          <w:p>
            <w:pPr>
              <w:spacing w:after="0" w:before="0" w:line="240" w:lineRule="auto"/>
            </w:pPr>
            <w:r>
              <w:rPr>
                <w:rFonts w:ascii="Times New Roman" w:hAnsi="Times New Roman" w:eastAsia="Times New Roman" w:cs="Times New Roman"/>
                <w:b w:val="0"/>
                <w:i w:val="0"/>
                <w:color w:val="000000"/>
                <w:sz w:val="18"/>
              </w:rPr>
              <w:t>0.786</w:t>
            </w:r>
          </w:p>
        </w:tc>
        <w:tc>
          <w:tcPr>
            <w:tcW w:type="dxa" w:w="1805"/>
          </w:tcPr>
          <w:p>
            <w:pPr>
              <w:spacing w:after="0" w:before="0" w:line="240" w:lineRule="auto"/>
            </w:pPr>
            <w:r>
              <w:rPr>
                <w:rFonts w:ascii="Times New Roman" w:hAnsi="Times New Roman" w:eastAsia="Times New Roman" w:cs="Times New Roman"/>
                <w:b w:val="0"/>
                <w:i w:val="0"/>
                <w:color w:val="000000"/>
                <w:sz w:val="18"/>
              </w:rPr>
              <w:t>0.148</w:t>
            </w:r>
          </w:p>
        </w:tc>
        <w:tc>
          <w:tcPr>
            <w:tcW w:type="dxa" w:w="1805"/>
          </w:tcPr>
          <w:p>
            <w:pPr>
              <w:spacing w:after="0" w:before="0" w:line="240" w:lineRule="auto"/>
            </w:pPr>
            <w:r>
              <w:rPr>
                <w:rFonts w:ascii="Times New Roman" w:hAnsi="Times New Roman" w:eastAsia="Times New Roman" w:cs="Times New Roman"/>
                <w:b w:val="0"/>
                <w:i w:val="0"/>
                <w:color w:val="000000"/>
                <w:sz w:val="18"/>
              </w:rPr>
              <w:t>1</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nRF=0: perfect match; nRF=1.0: random tree. Normalization: max_rf = 2(n−3). All methods use NJ (BioPython) for tree construction. "Wins" = lowest nRF in that family; ties are counted for all winners (Co-phylog halfctx=5's single win is a four-way tie on ST012). Statistical tests are paired Wilcoxon signed-rank (n=11; negative Cohen's d = first-named method better): Fusang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vs Co-phylog halfctx=11 p=0.0010 (d=−3.47) and vs halfctx=5 p=0.0020 (d=−2.28); Fusang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vs Co-phylog halfctx=11 p=0.0010 (d=−3.26) and vs halfctx=5 p=0.0020 (d=−2.21). Spaced-vs-contiguous comparisons are </w:t>
      </w:r>
      <w:r>
        <w:rPr>
          <w:rFonts w:ascii="Times New Roman" w:hAnsi="Times New Roman" w:eastAsia="Times New Roman" w:cs="Times New Roman"/>
          <w:b/>
          <w:i w:val="0"/>
          <w:color w:val="000000"/>
          <w:sz w:val="24"/>
        </w:rPr>
        <w:t>not</w:t>
      </w:r>
      <w:r>
        <w:rPr>
          <w:rFonts w:ascii="Times New Roman" w:hAnsi="Times New Roman" w:eastAsia="Times New Roman" w:cs="Times New Roman"/>
          <w:b w:val="0"/>
          <w:i w:val="0"/>
          <w:color w:val="000000"/>
          <w:sz w:val="24"/>
        </w:rPr>
        <w:t xml:space="preserve"> significant: Fusang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vs contiguous k=4, p=0.64 (d=+0.24); Fusang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vs contiguous k=5, p=0.094 (d=−0.63). </w:t>
      </w:r>
      <w:r>
        <w:rPr>
          <w:rFonts w:ascii="Times New Roman" w:hAnsi="Times New Roman" w:eastAsia="Times New Roman" w:cs="Times New Roman"/>
          <w:b/>
          <w:i w:val="0"/>
          <w:color w:val="000000"/>
          <w:sz w:val="24"/>
        </w:rPr>
        <w:t>Configuration-naming correction.</w:t>
      </w:r>
      <w:r>
        <w:rPr>
          <w:rFonts w:ascii="Times New Roman" w:hAnsi="Times New Roman" w:eastAsia="Times New Roman" w:cs="Times New Roman"/>
          <w:b w:val="0"/>
          <w:i w:val="0"/>
          <w:color w:val="000000"/>
          <w:sz w:val="24"/>
        </w:rPr>
        <w:t xml:space="preserve"> Earlier versions of this table labelled the two spaced rows "k=4,gap1 (1010101)" and "k=5,gap2 (1001001001001)". The benchmark in fact used the compressed patterns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(3 sampled positions spanning 4 residues) and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(4 sampled positions spanning 5 residues), chosen for the 20-letter protein alphabet; the </w:t>
      </w:r>
      <w:r>
        <w:rPr>
          <w:rFonts w:ascii="Consolas" w:hAnsi="Consolas" w:eastAsia="Consolas" w:cs="Consolas"/>
          <w:b w:val="0"/>
          <w:i w:val="0"/>
          <w:color w:val="000000"/>
          <w:sz w:val="24"/>
        </w:rPr>
        <w:t>k</w:t>
      </w:r>
      <w:r>
        <w:rPr>
          <w:rFonts w:ascii="Times New Roman" w:hAnsi="Times New Roman" w:eastAsia="Times New Roman" w:cs="Times New Roman"/>
          <w:b w:val="0"/>
          <w:i w:val="0"/>
          <w:color w:val="000000"/>
          <w:sz w:val="24"/>
        </w:rPr>
        <w:t xml:space="preserve"> argument is ignored whenever an explicit pattern is supplied. All numbers above correspond to those patterns, and we have corrected the labels rather than silently re-running with the DNA defaults. A consequence is that the spaced rows are not weight-matched to the contiguous rows (4 vs 5 and 3 vs 4 sampled positions respectively), so the spaced-vs-contiguous contrast on this benchmark conflates pattern with weight.</w:t>
      </w:r>
    </w:p>
    <w:p>
      <w:pPr>
        <w:spacing w:after="120" w:line="360" w:lineRule="auto"/>
      </w:pPr>
      <w:r>
        <w:rPr>
          <w:rFonts w:ascii="Times New Roman" w:hAnsi="Times New Roman" w:eastAsia="Times New Roman" w:cs="Times New Roman"/>
          <w:b w:val="0"/>
          <w:i w:val="0"/>
          <w:color w:val="000000"/>
          <w:sz w:val="24"/>
        </w:rPr>
        <w:t>Three findings emerge from the SwissTree benchmark:</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K-mer frequency methods outperform context-matching on protein sequences.</w:t>
      </w:r>
      <w:r>
        <w:rPr>
          <w:rFonts w:ascii="Times New Roman" w:hAnsi="Times New Roman" w:eastAsia="Times New Roman" w:cs="Times New Roman"/>
          <w:b w:val="0"/>
          <w:i w:val="0"/>
          <w:color w:val="000000"/>
          <w:sz w:val="24"/>
        </w:rPr>
        <w:t xml:space="preserve"> The best k-mer configuration achieves mean nRF=0.329, while Co-phylog's best configuration (halfctx=11) achieves nRF=0.727 — a 2.2× accuracy advantage (paired Wilcoxon p=0.0010, Cohen's d=−3.47) — and its default (halfctx=5) achieves nRF=0.786, a 2.4× gap (p=0.0020, d=−2.28). This extends our observation from DNA data (Table 7) to protein sequences, confirming that k-mer frequency vectors capture phylogenetic signal more robustly than Co-phylog's context-object matching across both sequence alphabets. Both gaps are markedly wider than the 1.5–1.8× we previously reported from a root-dependent nRF implementation (see Materials and Methods); the direction of the conclusion is unchanged, its magnitude was previously understated.</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No spaced-pattern advantage is detectable on protein data.</w:t>
      </w:r>
      <w:r>
        <w:rPr>
          <w:rFonts w:ascii="Times New Roman" w:hAnsi="Times New Roman" w:eastAsia="Times New Roman" w:cs="Times New Roman"/>
          <w:b w:val="0"/>
          <w:i w:val="0"/>
          <w:color w:val="000000"/>
          <w:sz w:val="24"/>
        </w:rPr>
        <w:t xml:space="preserve"> Under the root-dependent nRF implementation used previously we reported a significant spaced-pattern gain on this benchmark (spaced k=4,gap1 vs contiguous k=4: p=0.0078, better in 8/11 families). Recomputed with the standard root-independent unrooted RF, that gain disappears: pattern </w:t>
      </w:r>
      <w:r>
        <w:rPr>
          <w:rFonts w:ascii="Consolas" w:hAnsi="Consolas" w:eastAsia="Consolas" w:cs="Consolas"/>
          <w:b w:val="0"/>
          <w:i w:val="0"/>
          <w:color w:val="000000"/>
          <w:sz w:val="24"/>
        </w:rPr>
        <w:t>1011</w:t>
      </w:r>
      <w:r>
        <w:rPr>
          <w:rFonts w:ascii="Times New Roman" w:hAnsi="Times New Roman" w:eastAsia="Times New Roman" w:cs="Times New Roman"/>
          <w:b w:val="0"/>
          <w:i w:val="0"/>
          <w:color w:val="000000"/>
          <w:sz w:val="24"/>
        </w:rPr>
        <w:t xml:space="preserve"> (0.354 ± 0.158) is marginally </w:t>
      </w:r>
      <w:r>
        <w:rPr>
          <w:rFonts w:ascii="Times New Roman" w:hAnsi="Times New Roman" w:eastAsia="Times New Roman" w:cs="Times New Roman"/>
          <w:b w:val="0"/>
          <w:i/>
          <w:color w:val="000000"/>
          <w:sz w:val="24"/>
        </w:rPr>
        <w:t>worse</w:t>
      </w:r>
      <w:r>
        <w:rPr>
          <w:rFonts w:ascii="Times New Roman" w:hAnsi="Times New Roman" w:eastAsia="Times New Roman" w:cs="Times New Roman"/>
          <w:b w:val="0"/>
          <w:i w:val="0"/>
          <w:color w:val="000000"/>
          <w:sz w:val="24"/>
        </w:rPr>
        <w:t xml:space="preserve"> than contiguous k=4 (0.346 ± 0.169; paired Wilcoxon p=0.64), and pattern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(0.329 ± 0.148) is not significantly better than contiguous k=5 (0.343 ± 0.156; p=0.094). We therefore </w:t>
      </w:r>
      <w:r>
        <w:rPr>
          <w:rFonts w:ascii="Times New Roman" w:hAnsi="Times New Roman" w:eastAsia="Times New Roman" w:cs="Times New Roman"/>
          <w:b/>
          <w:i w:val="0"/>
          <w:color w:val="000000"/>
          <w:sz w:val="24"/>
        </w:rPr>
        <w:t>withdraw</w:t>
      </w:r>
      <w:r>
        <w:rPr>
          <w:rFonts w:ascii="Times New Roman" w:hAnsi="Times New Roman" w:eastAsia="Times New Roman" w:cs="Times New Roman"/>
          <w:b w:val="0"/>
          <w:i w:val="0"/>
          <w:color w:val="000000"/>
          <w:sz w:val="24"/>
        </w:rPr>
        <w:t xml:space="preserve"> the protein spaced-pattern claim: it was an artefact of the biased metric. On indel-rich DNA the spaced advantage survives the same metric change and is if anything stronger (Table 7, Finding 3: 75/130 seeds, p=5.54×10⁻⁴, paired d=0.337), so the evidence for spaced patterns in this work rests on the DNA benchmark alone, and we no longer claim that spaced sampling helps wherever gap content is high — the SwissTree alignments are strongly gap-rich (median gap fraction 50%, range 11–81%) yet show no such benefit.</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The choice of representation and distance metric dominates; pattern choice is secondary.</w:t>
      </w:r>
      <w:r>
        <w:rPr>
          <w:rFonts w:ascii="Times New Roman" w:hAnsi="Times New Roman" w:eastAsia="Times New Roman" w:cs="Times New Roman"/>
          <w:b w:val="0"/>
          <w:i w:val="0"/>
          <w:color w:val="000000"/>
          <w:sz w:val="24"/>
        </w:rPr>
        <w:t xml:space="preserve"> Across both DNA (Table 7) and protein (Table 10) benchmarks, the choice of representation and distance metric (k-mer frequency cosine vs context-object matching vs MinHash Jaccard) has a far larger effect than the choice between spaced and contiguous patterns: on protein data the k-mer-cosine vs Co-phylog contrast spans |d|≈2.2–3.5, whereas spaced vs contiguous is non-significant (finding 2). The systematic evaluation of k-mer frequency vector cosine distances — across spaced and contiguous patterns and across sequence alphabets — is the core contribution of this work.</w:t>
      </w:r>
    </w:p>
    <w:p>
      <w:pPr>
        <w:keepNext/>
        <w:spacing w:before="200" w:after="120" w:line="276" w:lineRule="auto"/>
      </w:pPr>
      <w:r>
        <w:rPr>
          <w:rFonts w:ascii="Times New Roman" w:hAnsi="Times New Roman" w:eastAsia="Times New Roman" w:cs="Times New Roman"/>
          <w:b/>
          <w:i w:val="0"/>
          <w:color w:val="000000"/>
          <w:sz w:val="26"/>
        </w:rPr>
        <w:t>Scalability: from single genes to 10,000 taxa</w:t>
      </w:r>
    </w:p>
    <w:p>
      <w:pPr>
        <w:spacing w:after="120" w:line="360" w:lineRule="auto"/>
      </w:pPr>
      <w:r>
        <w:rPr>
          <w:rFonts w:ascii="Times New Roman" w:hAnsi="Times New Roman" w:eastAsia="Times New Roman" w:cs="Times New Roman"/>
          <w:b w:val="0"/>
          <w:i w:val="0"/>
          <w:color w:val="000000"/>
          <w:sz w:val="24"/>
        </w:rPr>
        <w:t xml:space="preserve">Fusang completes phylogenetic inference on 10,000 taxa in 69.8 seconds (Table 11, Figure 5). For comparison, RAxML-NG under GTR+Γ with 10 parsimony and 10 random starting trees required 244 s at n=200 (measured; </w:t>
      </w:r>
      <w:r>
        <w:rPr>
          <w:rFonts w:ascii="Consolas" w:hAnsi="Consolas" w:eastAsia="Consolas" w:cs="Consolas"/>
          <w:b w:val="0"/>
          <w:i w:val="0"/>
          <w:color w:val="000000"/>
          <w:sz w:val="24"/>
        </w:rPr>
        <w:t>raxml_bench_results.csv</w:t>
      </w:r>
      <w:r>
        <w:rPr>
          <w:rFonts w:ascii="Times New Roman" w:hAnsi="Times New Roman" w:eastAsia="Times New Roman" w:cs="Times New Roman"/>
          <w:b w:val="0"/>
          <w:i w:val="0"/>
          <w:color w:val="000000"/>
          <w:sz w:val="24"/>
        </w:rPr>
        <w:t>), against 2.3 s for the Fusang simplified pipeline at the same size. The divide-and-conquer strategy with FastME scales as O(n² log n), with optimizations including scipy-based clustering (52× faster than Python implementation) and an n≤2 fast path.</w:t>
      </w:r>
    </w:p>
    <w:p>
      <w:pPr>
        <w:spacing w:after="120" w:line="360" w:lineRule="auto"/>
      </w:pPr>
      <w:r>
        <w:rPr>
          <w:rFonts w:ascii="Times New Roman" w:hAnsi="Times New Roman" w:eastAsia="Times New Roman" w:cs="Times New Roman"/>
          <w:b/>
          <w:i w:val="0"/>
          <w:color w:val="000000"/>
          <w:sz w:val="24"/>
        </w:rPr>
        <w:t>Table 11. Fusang scalability (L=500 bp, clean data; simplified pipeline for n≤500 timing runs; DCM+EPA at n=1,000 and n=10,000). Tree builder: FastME BIONJ+BNNI.</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tcPr>
          <w:p>
            <w:pPr>
              <w:spacing w:after="0" w:before="0" w:line="240" w:lineRule="auto"/>
            </w:pPr>
            <w:r>
              <w:rPr>
                <w:rFonts w:ascii="Times New Roman" w:hAnsi="Times New Roman" w:eastAsia="Times New Roman" w:cs="Times New Roman"/>
                <w:b/>
                <w:i w:val="0"/>
                <w:color w:val="000000"/>
                <w:sz w:val="18"/>
              </w:rPr>
              <w:t>n</w:t>
            </w:r>
          </w:p>
        </w:tc>
        <w:tc>
          <w:tcPr>
            <w:tcW w:type="dxa" w:w="2256"/>
          </w:tcPr>
          <w:p>
            <w:pPr>
              <w:spacing w:after="0" w:before="0" w:line="240" w:lineRule="auto"/>
            </w:pPr>
            <w:r>
              <w:rPr>
                <w:rFonts w:ascii="Times New Roman" w:hAnsi="Times New Roman" w:eastAsia="Times New Roman" w:cs="Times New Roman"/>
                <w:b/>
                <w:i w:val="0"/>
                <w:color w:val="000000"/>
                <w:sz w:val="18"/>
              </w:rPr>
              <w:t>Time (s)</w:t>
            </w:r>
          </w:p>
        </w:tc>
        <w:tc>
          <w:tcPr>
            <w:tcW w:type="dxa" w:w="2256"/>
          </w:tcPr>
          <w:p>
            <w:pPr>
              <w:spacing w:after="0" w:before="0" w:line="240" w:lineRule="auto"/>
            </w:pPr>
            <w:r>
              <w:rPr>
                <w:rFonts w:ascii="Times New Roman" w:hAnsi="Times New Roman" w:eastAsia="Times New Roman" w:cs="Times New Roman"/>
                <w:b/>
                <w:i w:val="0"/>
                <w:color w:val="000000"/>
                <w:sz w:val="18"/>
              </w:rPr>
              <w:t>Pipeline</w:t>
            </w:r>
          </w:p>
        </w:tc>
        <w:tc>
          <w:tcPr>
            <w:tcW w:type="dxa" w:w="2256"/>
          </w:tcPr>
          <w:p>
            <w:pPr>
              <w:spacing w:after="0" w:before="0" w:line="240" w:lineRule="auto"/>
            </w:pPr>
            <w:r>
              <w:rPr>
                <w:rFonts w:ascii="Times New Roman" w:hAnsi="Times New Roman" w:eastAsia="Times New Roman" w:cs="Times New Roman"/>
                <w:b/>
                <w:i w:val="0"/>
                <w:color w:val="000000"/>
                <w:sz w:val="18"/>
              </w:rPr>
              <w:t>FastME Speedup vs NJ</w:t>
            </w:r>
          </w:p>
        </w:tc>
      </w:tr>
      <w:tr>
        <w:tc>
          <w:tcPr>
            <w:tcW w:type="dxa" w:w="2256"/>
          </w:tcPr>
          <w:p>
            <w:pPr>
              <w:spacing w:after="0" w:before="0" w:line="240" w:lineRule="auto"/>
            </w:pPr>
            <w:r>
              <w:rPr>
                <w:rFonts w:ascii="Times New Roman" w:hAnsi="Times New Roman" w:eastAsia="Times New Roman" w:cs="Times New Roman"/>
                <w:b w:val="0"/>
                <w:i w:val="0"/>
                <w:color w:val="000000"/>
                <w:sz w:val="18"/>
              </w:rPr>
              <w:t>20</w:t>
            </w:r>
          </w:p>
        </w:tc>
        <w:tc>
          <w:tcPr>
            <w:tcW w:type="dxa" w:w="2256"/>
          </w:tcPr>
          <w:p>
            <w:pPr>
              <w:spacing w:after="0" w:before="0" w:line="240" w:lineRule="auto"/>
            </w:pPr>
            <w:r>
              <w:rPr>
                <w:rFonts w:ascii="Times New Roman" w:hAnsi="Times New Roman" w:eastAsia="Times New Roman" w:cs="Times New Roman"/>
                <w:b w:val="0"/>
                <w:i w:val="0"/>
                <w:color w:val="000000"/>
                <w:sz w:val="18"/>
              </w:rPr>
              <w:t>4.9</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50</w:t>
            </w:r>
          </w:p>
        </w:tc>
        <w:tc>
          <w:tcPr>
            <w:tcW w:type="dxa" w:w="2256"/>
          </w:tcPr>
          <w:p>
            <w:pPr>
              <w:spacing w:after="0" w:before="0" w:line="240" w:lineRule="auto"/>
            </w:pPr>
            <w:r>
              <w:rPr>
                <w:rFonts w:ascii="Times New Roman" w:hAnsi="Times New Roman" w:eastAsia="Times New Roman" w:cs="Times New Roman"/>
                <w:b w:val="0"/>
                <w:i w:val="0"/>
                <w:color w:val="000000"/>
                <w:sz w:val="18"/>
              </w:rPr>
              <w:t>13.9</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w:t>
            </w:r>
          </w:p>
        </w:tc>
        <w:tc>
          <w:tcPr>
            <w:tcW w:type="dxa" w:w="2256"/>
          </w:tcPr>
          <w:p>
            <w:pPr>
              <w:spacing w:after="0" w:before="0" w:line="240" w:lineRule="auto"/>
            </w:pPr>
            <w:r>
              <w:rPr>
                <w:rFonts w:ascii="Times New Roman" w:hAnsi="Times New Roman" w:eastAsia="Times New Roman" w:cs="Times New Roman"/>
                <w:b w:val="0"/>
                <w:i w:val="0"/>
                <w:color w:val="000000"/>
                <w:sz w:val="18"/>
              </w:rPr>
              <w:t>24.5</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200</w:t>
            </w:r>
          </w:p>
        </w:tc>
        <w:tc>
          <w:tcPr>
            <w:tcW w:type="dxa" w:w="2256"/>
          </w:tcPr>
          <w:p>
            <w:pPr>
              <w:spacing w:after="0" w:before="0" w:line="240" w:lineRule="auto"/>
            </w:pPr>
            <w:r>
              <w:rPr>
                <w:rFonts w:ascii="Times New Roman" w:hAnsi="Times New Roman" w:eastAsia="Times New Roman" w:cs="Times New Roman"/>
                <w:b w:val="0"/>
                <w:i w:val="0"/>
                <w:color w:val="000000"/>
                <w:sz w:val="18"/>
              </w:rPr>
              <w:t>46.1</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 (NJ)</w:t>
            </w:r>
          </w:p>
        </w:tc>
        <w:tc>
          <w:tcPr>
            <w:tcW w:type="dxa" w:w="2256"/>
          </w:tcPr>
          <w:p>
            <w:pPr>
              <w:spacing w:after="0" w:before="0" w:line="240" w:lineRule="auto"/>
            </w:pPr>
            <w:r>
              <w:rPr>
                <w:rFonts w:ascii="Times New Roman" w:hAnsi="Times New Roman" w:eastAsia="Times New Roman" w:cs="Times New Roman"/>
                <w:b w:val="0"/>
                <w:i w:val="0"/>
                <w:color w:val="000000"/>
                <w:sz w:val="18"/>
              </w:rPr>
              <w:t>3.5×</w:t>
            </w:r>
          </w:p>
        </w:tc>
      </w:tr>
      <w:tr>
        <w:tc>
          <w:tcPr>
            <w:tcW w:type="dxa" w:w="2256"/>
          </w:tcPr>
          <w:p>
            <w:pPr>
              <w:spacing w:after="0" w:before="0" w:line="240" w:lineRule="auto"/>
            </w:pPr>
            <w:r>
              <w:rPr>
                <w:rFonts w:ascii="Times New Roman" w:hAnsi="Times New Roman" w:eastAsia="Times New Roman" w:cs="Times New Roman"/>
                <w:b w:val="0"/>
                <w:i w:val="0"/>
                <w:color w:val="000000"/>
                <w:sz w:val="18"/>
              </w:rPr>
              <w:t>500</w:t>
            </w:r>
          </w:p>
        </w:tc>
        <w:tc>
          <w:tcPr>
            <w:tcW w:type="dxa" w:w="2256"/>
          </w:tcPr>
          <w:p>
            <w:pPr>
              <w:spacing w:after="0" w:before="0" w:line="240" w:lineRule="auto"/>
            </w:pPr>
            <w:r>
              <w:rPr>
                <w:rFonts w:ascii="Times New Roman" w:hAnsi="Times New Roman" w:eastAsia="Times New Roman" w:cs="Times New Roman"/>
                <w:b w:val="0"/>
                <w:i w:val="0"/>
                <w:color w:val="000000"/>
                <w:sz w:val="18"/>
              </w:rPr>
              <w:t>3.8</w:t>
            </w:r>
          </w:p>
        </w:tc>
        <w:tc>
          <w:tcPr>
            <w:tcW w:type="dxa" w:w="2256"/>
          </w:tcPr>
          <w:p>
            <w:pPr>
              <w:spacing w:after="0" w:before="0" w:line="240" w:lineRule="auto"/>
            </w:pPr>
            <w:r>
              <w:rPr>
                <w:rFonts w:ascii="Times New Roman" w:hAnsi="Times New Roman" w:eastAsia="Times New Roman" w:cs="Times New Roman"/>
                <w:b w:val="0"/>
                <w:i w:val="0"/>
                <w:color w:val="000000"/>
                <w:sz w:val="18"/>
              </w:rPr>
              <w:t>Simplified (FastME)</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1000</w:t>
            </w:r>
          </w:p>
        </w:tc>
        <w:tc>
          <w:tcPr>
            <w:tcW w:type="dxa" w:w="2256"/>
          </w:tcPr>
          <w:p>
            <w:pPr>
              <w:spacing w:after="0" w:before="0" w:line="240" w:lineRule="auto"/>
            </w:pPr>
            <w:r>
              <w:rPr>
                <w:rFonts w:ascii="Times New Roman" w:hAnsi="Times New Roman" w:eastAsia="Times New Roman" w:cs="Times New Roman"/>
                <w:b w:val="0"/>
                <w:i w:val="0"/>
                <w:color w:val="000000"/>
                <w:sz w:val="18"/>
              </w:rPr>
              <w:t>5.2</w:t>
            </w:r>
          </w:p>
        </w:tc>
        <w:tc>
          <w:tcPr>
            <w:tcW w:type="dxa" w:w="2256"/>
          </w:tcPr>
          <w:p>
            <w:pPr>
              <w:spacing w:after="0" w:before="0" w:line="240" w:lineRule="auto"/>
            </w:pPr>
            <w:r>
              <w:rPr>
                <w:rFonts w:ascii="Times New Roman" w:hAnsi="Times New Roman" w:eastAsia="Times New Roman" w:cs="Times New Roman"/>
                <w:b w:val="0"/>
                <w:i w:val="0"/>
                <w:color w:val="000000"/>
                <w:sz w:val="18"/>
              </w:rPr>
              <w:t>DCM+EPA ‡</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r>
        <w:tc>
          <w:tcPr>
            <w:tcW w:type="dxa" w:w="2256"/>
          </w:tcPr>
          <w:p>
            <w:pPr>
              <w:spacing w:after="0" w:before="0" w:line="240" w:lineRule="auto"/>
            </w:pPr>
            <w:r>
              <w:rPr>
                <w:rFonts w:ascii="Times New Roman" w:hAnsi="Times New Roman" w:eastAsia="Times New Roman" w:cs="Times New Roman"/>
                <w:b w:val="0"/>
                <w:i w:val="0"/>
                <w:color w:val="000000"/>
                <w:sz w:val="18"/>
              </w:rPr>
              <w:t>10000</w:t>
            </w:r>
          </w:p>
        </w:tc>
        <w:tc>
          <w:tcPr>
            <w:tcW w:type="dxa" w:w="2256"/>
          </w:tcPr>
          <w:p>
            <w:pPr>
              <w:spacing w:after="0" w:before="0" w:line="240" w:lineRule="auto"/>
            </w:pPr>
            <w:r>
              <w:rPr>
                <w:rFonts w:ascii="Times New Roman" w:hAnsi="Times New Roman" w:eastAsia="Times New Roman" w:cs="Times New Roman"/>
                <w:b w:val="0"/>
                <w:i w:val="0"/>
                <w:color w:val="000000"/>
                <w:sz w:val="18"/>
              </w:rPr>
              <w:t>69.8</w:t>
            </w:r>
          </w:p>
        </w:tc>
        <w:tc>
          <w:tcPr>
            <w:tcW w:type="dxa" w:w="2256"/>
          </w:tcPr>
          <w:p>
            <w:pPr>
              <w:spacing w:after="0" w:before="0" w:line="240" w:lineRule="auto"/>
            </w:pPr>
            <w:r>
              <w:rPr>
                <w:rFonts w:ascii="Times New Roman" w:hAnsi="Times New Roman" w:eastAsia="Times New Roman" w:cs="Times New Roman"/>
                <w:b w:val="0"/>
                <w:i w:val="0"/>
                <w:color w:val="000000"/>
                <w:sz w:val="18"/>
              </w:rPr>
              <w:t>DCM</w:t>
            </w:r>
          </w:p>
        </w:tc>
        <w:tc>
          <w:tcPr>
            <w:tcW w:type="dxa" w:w="2256"/>
          </w:tcPr>
          <w:p>
            <w:pPr>
              <w:spacing w:after="0" w:before="0" w:line="240" w:lineRule="auto"/>
            </w:pPr>
            <w:r>
              <w:rPr>
                <w:rFonts w:ascii="Times New Roman" w:hAnsi="Times New Roman" w:eastAsia="Times New Roman" w:cs="Times New Roman"/>
                <w:b w:val="0"/>
                <w:i w:val="0"/>
                <w:color w:val="000000"/>
                <w:sz w:val="18"/>
              </w:rPr>
              <w:t>—</w:t>
            </w:r>
          </w:p>
        </w:tc>
      </w:tr>
    </w:tbl>
    <w:p>
      <w:pPr>
        <w:spacing w:after="0"/>
      </w:pPr>
    </w:p>
    <w:p>
      <w:pPr>
        <w:spacing w:after="120" w:line="360" w:lineRule="auto"/>
      </w:pPr>
      <w:r>
        <w:rPr>
          <w:rFonts w:ascii="Times New Roman" w:hAnsi="Times New Roman" w:eastAsia="Times New Roman" w:cs="Times New Roman"/>
          <w:b w:val="0"/>
          <w:i w:val="0"/>
          <w:color w:val="000000"/>
          <w:sz w:val="24"/>
        </w:rPr>
        <w:t xml:space="preserve">† This table mixes two measurement generations and should be read with care. The n=20–200 rows were timed with Neighbor-Joining (NJ) </w:t>
      </w:r>
      <w:r>
        <w:rPr>
          <w:rFonts w:ascii="Times New Roman" w:hAnsi="Times New Roman" w:eastAsia="Times New Roman" w:cs="Times New Roman"/>
          <w:b/>
          <w:i w:val="0"/>
          <w:color w:val="000000"/>
          <w:sz w:val="24"/>
        </w:rPr>
        <w:t>before</w:t>
      </w:r>
      <w:r>
        <w:rPr>
          <w:rFonts w:ascii="Times New Roman" w:hAnsi="Times New Roman" w:eastAsia="Times New Roman" w:cs="Times New Roman"/>
          <w:b w:val="0"/>
          <w:i w:val="0"/>
          <w:color w:val="000000"/>
          <w:sz w:val="24"/>
        </w:rPr>
        <w:t xml:space="preserve"> the scipy-based clustering optimisation (reported: 4.9/13.9/24.5/46.1 s; the same NJ builder after optimisation: 1.8/2.0/2.2/2.3 s), whereas the n≥500 rows use FastME BIONJ+BNNI on the optimised code path (n=500/1000 also independently recorded as 3.59/5.08 s). The apparent non-monotonicity between n=200 (46.1 s) and n=500 (3.8 s) therefore reflects the change of tree builder and code version, not an algorithmic discontinuity; a uniform re-timing of the whole table on a single code version is in progress. All scalability claims in the main text use FastME BIONJ+BNNI as the default tree builder for n≥200 (3.5× faster than NJ at n=200).</w:t>
      </w:r>
    </w:p>
    <w:p>
      <w:pPr>
        <w:spacing w:after="120" w:line="360" w:lineRule="auto"/>
      </w:pPr>
      <w:r>
        <w:rPr>
          <w:rFonts w:ascii="Times New Roman" w:hAnsi="Times New Roman" w:eastAsia="Times New Roman" w:cs="Times New Roman"/>
          <w:b w:val="0"/>
          <w:i w:val="0"/>
          <w:color w:val="000000"/>
          <w:sz w:val="24"/>
        </w:rPr>
        <w:t xml:space="preserve">‡ The n=1,000 timing run was launched with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but that flag is silently overridden for n &gt; 500 because the </w:t>
      </w:r>
      <w:r>
        <w:rPr>
          <w:rFonts w:ascii="Consolas" w:hAnsi="Consolas" w:eastAsia="Consolas" w:cs="Consolas"/>
          <w:b w:val="0"/>
          <w:i w:val="0"/>
          <w:color w:val="000000"/>
          <w:sz w:val="24"/>
        </w:rPr>
        <w:t>epa_method</w:t>
      </w:r>
      <w:r>
        <w:rPr>
          <w:rFonts w:ascii="Times New Roman" w:hAnsi="Times New Roman" w:eastAsia="Times New Roman" w:cs="Times New Roman"/>
          <w:b w:val="0"/>
          <w:i w:val="0"/>
          <w:color w:val="000000"/>
          <w:sz w:val="24"/>
        </w:rPr>
        <w:t xml:space="preserve"> branch resets </w:t>
      </w:r>
      <w:r>
        <w:rPr>
          <w:rFonts w:ascii="Consolas" w:hAnsi="Consolas" w:eastAsia="Consolas" w:cs="Consolas"/>
          <w:b w:val="0"/>
          <w:i w:val="0"/>
          <w:color w:val="000000"/>
          <w:sz w:val="24"/>
        </w:rPr>
        <w:t>use_simple</w:t>
      </w:r>
      <w:r>
        <w:rPr>
          <w:rFonts w:ascii="Times New Roman" w:hAnsi="Times New Roman" w:eastAsia="Times New Roman" w:cs="Times New Roman"/>
          <w:b w:val="0"/>
          <w:i w:val="0"/>
          <w:color w:val="000000"/>
          <w:sz w:val="24"/>
        </w:rPr>
        <w:t xml:space="preserve"> to False; the recorded 5.2 s therefore reflects the DCM+EPA pipeline, not the simplified one. The same applies to any other run that relied on </w:t>
      </w:r>
      <w:r>
        <w:rPr>
          <w:rFonts w:ascii="Consolas" w:hAnsi="Consolas" w:eastAsia="Consolas" w:cs="Consolas"/>
          <w:b w:val="0"/>
          <w:i w:val="0"/>
          <w:color w:val="000000"/>
          <w:sz w:val="24"/>
        </w:rPr>
        <w:t>--simple</w:t>
      </w:r>
      <w:r>
        <w:rPr>
          <w:rFonts w:ascii="Times New Roman" w:hAnsi="Times New Roman" w:eastAsia="Times New Roman" w:cs="Times New Roman"/>
          <w:b w:val="0"/>
          <w:i w:val="0"/>
          <w:color w:val="000000"/>
          <w:sz w:val="24"/>
        </w:rPr>
        <w:t xml:space="preserve"> above the </w:t>
      </w:r>
      <w:r>
        <w:rPr>
          <w:rFonts w:ascii="Consolas" w:hAnsi="Consolas" w:eastAsia="Consolas" w:cs="Consolas"/>
          <w:b w:val="0"/>
          <w:i w:val="0"/>
          <w:color w:val="000000"/>
          <w:sz w:val="24"/>
        </w:rPr>
        <w:t>SIMPLE_THRESHOLD</w:t>
      </w:r>
      <w:r>
        <w:rPr>
          <w:rFonts w:ascii="Times New Roman" w:hAnsi="Times New Roman" w:eastAsia="Times New Roman" w:cs="Times New Roman"/>
          <w:b w:val="0"/>
          <w:i w:val="0"/>
          <w:color w:val="000000"/>
          <w:sz w:val="24"/>
        </w:rPr>
        <w:t>.</w:t>
      </w:r>
    </w:p>
    <w:p>
      <w:pPr>
        <w:keepNext/>
        <w:spacing w:before="200" w:after="120" w:line="276" w:lineRule="auto"/>
      </w:pPr>
      <w:r>
        <w:rPr>
          <w:rFonts w:ascii="Times New Roman" w:hAnsi="Times New Roman" w:eastAsia="Times New Roman" w:cs="Times New Roman"/>
          <w:b/>
          <w:i w:val="0"/>
          <w:color w:val="000000"/>
          <w:sz w:val="26"/>
        </w:rPr>
        <w:t>Real indel-rich genome benchmarks: AFproject community datasets</w:t>
      </w:r>
    </w:p>
    <w:p>
      <w:pPr>
        <w:spacing w:after="120" w:line="360" w:lineRule="auto"/>
      </w:pPr>
      <w:r>
        <w:rPr>
          <w:rFonts w:ascii="Times New Roman" w:hAnsi="Times New Roman" w:eastAsia="Times New Roman" w:cs="Times New Roman"/>
          <w:b w:val="0"/>
          <w:i w:val="0"/>
          <w:color w:val="000000"/>
          <w:sz w:val="24"/>
        </w:rPr>
        <w:t>The indel-robustness claims rest primarily on simulations; we therefore validated on two real whole-genome datasets with published trusted reference trees from the AFproject community benchmark [14] (Table 12; full results: Supplementary Table S16). Before benchmarking, we quantified the indel content of our real datasets: the fish mitochondrial alignment contains 9.1% gap cells, and the SwissTree protein families (Table 10) contain a median of 50% gap cells (range 11–81%) — establishing that the existing protein benchmark is strongly indel-rich real data.</w:t>
      </w:r>
    </w:p>
    <w:p>
      <w:pPr>
        <w:spacing w:after="120" w:line="360" w:lineRule="auto"/>
      </w:pPr>
      <w:r>
        <w:rPr>
          <w:rFonts w:ascii="Times New Roman" w:hAnsi="Times New Roman" w:eastAsia="Times New Roman" w:cs="Times New Roman"/>
          <w:b/>
          <w:i w:val="0"/>
          <w:color w:val="000000"/>
          <w:sz w:val="24"/>
        </w:rPr>
        <w:t>Table 12. Real genome benchmarks (AFproject community datasets, ETE3 nRF¹ vs published reference trees). All methods use NJ on unaligned input unless noted.</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before="0" w:line="240" w:lineRule="auto"/>
            </w:pPr>
            <w:r>
              <w:rPr>
                <w:rFonts w:ascii="Times New Roman" w:hAnsi="Times New Roman" w:eastAsia="Times New Roman" w:cs="Times New Roman"/>
                <w:b/>
                <w:i w:val="0"/>
                <w:color w:val="000000"/>
                <w:sz w:val="18"/>
              </w:rPr>
              <w:t>Method</w:t>
            </w:r>
          </w:p>
        </w:tc>
        <w:tc>
          <w:tcPr>
            <w:tcW w:type="dxa" w:w="3009"/>
          </w:tcPr>
          <w:p>
            <w:pPr>
              <w:spacing w:after="0" w:before="0" w:line="240" w:lineRule="auto"/>
            </w:pPr>
            <w:r>
              <w:rPr>
                <w:rFonts w:ascii="Times New Roman" w:hAnsi="Times New Roman" w:eastAsia="Times New Roman" w:cs="Times New Roman"/>
                <w:b/>
                <w:i w:val="0"/>
                <w:color w:val="000000"/>
                <w:sz w:val="18"/>
              </w:rPr>
              <w:t>Fish mtDNA (n=25) ↓</w:t>
            </w:r>
          </w:p>
        </w:tc>
        <w:tc>
          <w:tcPr>
            <w:tcW w:type="dxa" w:w="3009"/>
          </w:tcPr>
          <w:p>
            <w:pPr>
              <w:spacing w:after="0" w:before="0" w:line="240" w:lineRule="auto"/>
            </w:pPr>
            <w:r>
              <w:rPr>
                <w:rFonts w:ascii="Times New Roman" w:hAnsi="Times New Roman" w:eastAsia="Times New Roman" w:cs="Times New Roman"/>
                <w:b/>
                <w:i w:val="0"/>
                <w:color w:val="000000"/>
                <w:sz w:val="18"/>
              </w:rPr>
              <w:t>E. coli/Shigella (n=27) ↓</w:t>
            </w:r>
          </w:p>
        </w:tc>
      </w:tr>
      <w:tr>
        <w:tc>
          <w:tcPr>
            <w:tcW w:type="dxa" w:w="3009"/>
          </w:tcPr>
          <w:p>
            <w:pPr>
              <w:spacing w:after="0" w:before="0" w:line="240" w:lineRule="auto"/>
            </w:pPr>
            <w:r>
              <w:rPr>
                <w:rFonts w:ascii="Times New Roman" w:hAnsi="Times New Roman" w:eastAsia="Times New Roman" w:cs="Times New Roman"/>
                <w:b/>
                <w:i w:val="0"/>
                <w:color w:val="000000"/>
                <w:sz w:val="18"/>
              </w:rPr>
              <w:t>Multi-k cosine (k=5,7,9 avg)</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0.500</w:t>
            </w:r>
          </w:p>
        </w:tc>
      </w:tr>
      <w:tr>
        <w:tc>
          <w:tcPr>
            <w:tcW w:type="dxa" w:w="3009"/>
          </w:tcPr>
          <w:p>
            <w:pPr>
              <w:spacing w:after="0" w:before="0" w:line="240" w:lineRule="auto"/>
            </w:pPr>
            <w:r>
              <w:rPr>
                <w:rFonts w:ascii="Times New Roman" w:hAnsi="Times New Roman" w:eastAsia="Times New Roman" w:cs="Times New Roman"/>
                <w:b/>
                <w:i w:val="0"/>
                <w:color w:val="000000"/>
                <w:sz w:val="18"/>
              </w:rPr>
              <w:t>Multi-k cosine (k=7,9,11 avg)</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Multi-k cosine (k=9,11,13 avg)</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c>
          <w:tcPr>
            <w:tcW w:type="dxa" w:w="3009"/>
          </w:tcPr>
          <w:p>
            <w:pPr>
              <w:spacing w:after="0" w:before="0" w:line="240" w:lineRule="auto"/>
            </w:pPr>
            <w:r>
              <w:rPr>
                <w:rFonts w:ascii="Times New Roman" w:hAnsi="Times New Roman" w:eastAsia="Times New Roman" w:cs="Times New Roman"/>
                <w:b w:val="0"/>
                <w:i w:val="0"/>
                <w:color w:val="000000"/>
                <w:sz w:val="18"/>
              </w:rPr>
              <w:t>0.500</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K-mer cosine k=9 / k=11 / k=13</w:t>
            </w:r>
          </w:p>
        </w:tc>
        <w:tc>
          <w:tcPr>
            <w:tcW w:type="dxa" w:w="3009"/>
          </w:tcPr>
          <w:p>
            <w:pPr>
              <w:spacing w:after="0" w:before="0" w:line="240" w:lineRule="auto"/>
            </w:pPr>
            <w:r>
              <w:rPr>
                <w:rFonts w:ascii="Times New Roman" w:hAnsi="Times New Roman" w:eastAsia="Times New Roman" w:cs="Times New Roman"/>
                <w:b w:val="0"/>
                <w:i w:val="0"/>
                <w:color w:val="000000"/>
                <w:sz w:val="18"/>
              </w:rPr>
              <w:t>0.091 / 0.091 / —</w:t>
            </w:r>
          </w:p>
        </w:tc>
        <w:tc>
          <w:tcPr>
            <w:tcW w:type="dxa" w:w="3009"/>
          </w:tcPr>
          <w:p>
            <w:pPr>
              <w:spacing w:after="0" w:before="0" w:line="240" w:lineRule="auto"/>
            </w:pPr>
            <w:r>
              <w:rPr>
                <w:rFonts w:ascii="Times New Roman" w:hAnsi="Times New Roman" w:eastAsia="Times New Roman" w:cs="Times New Roman"/>
                <w:b w:val="0"/>
                <w:i w:val="0"/>
                <w:color w:val="000000"/>
                <w:sz w:val="18"/>
              </w:rPr>
              <w:t>0.500 / 0.500 / 0.500</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K-mer cosine k=5 (gene-scale default)</w:t>
            </w:r>
          </w:p>
        </w:tc>
        <w:tc>
          <w:tcPr>
            <w:tcW w:type="dxa" w:w="3009"/>
          </w:tcPr>
          <w:p>
            <w:pPr>
              <w:spacing w:after="0" w:before="0" w:line="240" w:lineRule="auto"/>
            </w:pPr>
            <w:r>
              <w:rPr>
                <w:rFonts w:ascii="Times New Roman" w:hAnsi="Times New Roman" w:eastAsia="Times New Roman" w:cs="Times New Roman"/>
                <w:b w:val="0"/>
                <w:i w:val="0"/>
                <w:color w:val="000000"/>
                <w:sz w:val="18"/>
              </w:rPr>
              <w:t>0.545</w:t>
            </w:r>
          </w:p>
        </w:tc>
        <w:tc>
          <w:tcPr>
            <w:tcW w:type="dxa" w:w="3009"/>
          </w:tcPr>
          <w:p>
            <w:pPr>
              <w:spacing w:after="0" w:before="0" w:line="240" w:lineRule="auto"/>
            </w:pPr>
            <w:r>
              <w:rPr>
                <w:rFonts w:ascii="Times New Roman" w:hAnsi="Times New Roman" w:eastAsia="Times New Roman" w:cs="Times New Roman"/>
                <w:b w:val="0"/>
                <w:i w:val="0"/>
                <w:color w:val="000000"/>
                <w:sz w:val="18"/>
              </w:rPr>
              <w:t>0.875</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kmacs (k=10,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kmacs (k=3)</w:t>
            </w:r>
          </w:p>
        </w:tc>
        <w:tc>
          <w:tcPr>
            <w:tcW w:type="dxa" w:w="3009"/>
          </w:tcPr>
          <w:p>
            <w:pPr>
              <w:spacing w:after="0" w:before="0" w:line="240" w:lineRule="auto"/>
            </w:pPr>
            <w:r>
              <w:rPr>
                <w:rFonts w:ascii="Times New Roman" w:hAnsi="Times New Roman" w:eastAsia="Times New Roman" w:cs="Times New Roman"/>
                <w:b w:val="0"/>
                <w:i w:val="0"/>
                <w:color w:val="000000"/>
                <w:sz w:val="18"/>
              </w:rPr>
              <w:t>0.182</w:t>
            </w:r>
          </w:p>
        </w:tc>
        <w:tc>
          <w:tcPr>
            <w:tcW w:type="dxa" w:w="3009"/>
          </w:tcPr>
          <w:p>
            <w:pPr>
              <w:spacing w:after="0" w:before="0" w:line="240" w:lineRule="auto"/>
            </w:pPr>
            <w:r>
              <w:rPr>
                <w:rFonts w:ascii="Times New Roman" w:hAnsi="Times New Roman" w:eastAsia="Times New Roman" w:cs="Times New Roman"/>
                <w:b w:val="0"/>
                <w:i w:val="0"/>
                <w:color w:val="000000"/>
                <w:sz w:val="18"/>
              </w:rPr>
              <w:t>0.542 ³</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Mash (k=11, s=5000,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0.05]</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Mash (k=21, s=10000)</w:t>
            </w:r>
          </w:p>
        </w:tc>
        <w:tc>
          <w:tcPr>
            <w:tcW w:type="dxa" w:w="3009"/>
          </w:tcPr>
          <w:p>
            <w:pPr>
              <w:spacing w:after="0" w:before="0" w:line="240" w:lineRule="auto"/>
            </w:pPr>
            <w:r>
              <w:rPr>
                <w:rFonts w:ascii="Times New Roman" w:hAnsi="Times New Roman" w:eastAsia="Times New Roman" w:cs="Times New Roman"/>
                <w:b w:val="0"/>
                <w:i w:val="0"/>
                <w:color w:val="000000"/>
                <w:sz w:val="18"/>
              </w:rPr>
              <w:t>0.091</w:t>
            </w:r>
          </w:p>
        </w:tc>
        <w:tc>
          <w:tcPr>
            <w:tcW w:type="dxa" w:w="3009"/>
          </w:tcPr>
          <w:p>
            <w:pPr>
              <w:spacing w:after="0" w:before="0" w:line="240" w:lineRule="auto"/>
            </w:pPr>
            <w:r>
              <w:rPr>
                <w:rFonts w:ascii="Times New Roman" w:hAnsi="Times New Roman" w:eastAsia="Times New Roman" w:cs="Times New Roman"/>
                <w:b w:val="0"/>
                <w:i w:val="0"/>
                <w:color w:val="000000"/>
                <w:sz w:val="18"/>
              </w:rPr>
              <w:t>0.208</w:t>
            </w:r>
          </w:p>
        </w:tc>
      </w:tr>
      <w:tr>
        <w:tc>
          <w:tcPr>
            <w:tcW w:type="dxa" w:w="3009"/>
          </w:tcPr>
          <w:p>
            <w:pPr>
              <w:spacing w:after="0" w:before="0" w:line="240" w:lineRule="auto"/>
            </w:pPr>
            <w:r>
              <w:rPr>
                <w:rFonts w:ascii="Times New Roman" w:hAnsi="Times New Roman" w:eastAsia="Times New Roman" w:cs="Times New Roman"/>
                <w:b w:val="0"/>
                <w:i w:val="0"/>
                <w:color w:val="000000"/>
                <w:sz w:val="18"/>
              </w:rPr>
              <w:t>Co-phylog (halfctx=5, AFproject config)</w:t>
            </w:r>
          </w:p>
        </w:tc>
        <w:tc>
          <w:tcPr>
            <w:tcW w:type="dxa" w:w="3009"/>
          </w:tcPr>
          <w:p>
            <w:pPr>
              <w:spacing w:after="0" w:before="0" w:line="240" w:lineRule="auto"/>
            </w:pPr>
            <w:r>
              <w:rPr>
                <w:rFonts w:ascii="Times New Roman" w:hAnsi="Times New Roman" w:eastAsia="Times New Roman" w:cs="Times New Roman"/>
                <w:b/>
                <w:i w:val="0"/>
                <w:color w:val="000000"/>
                <w:sz w:val="18"/>
              </w:rPr>
              <w:t>0.045</w:t>
            </w:r>
            <w:r>
              <w:rPr>
                <w:rFonts w:ascii="Times New Roman" w:hAnsi="Times New Roman" w:eastAsia="Times New Roman" w:cs="Times New Roman"/>
                <w:b w:val="0"/>
                <w:i w:val="0"/>
                <w:color w:val="000000"/>
                <w:sz w:val="18"/>
              </w:rPr>
              <w:t xml:space="preserve"> [published 0.09]</w:t>
            </w:r>
          </w:p>
        </w:tc>
        <w:tc>
          <w:tcPr>
            <w:tcW w:type="dxa" w:w="3009"/>
          </w:tcPr>
          <w:p>
            <w:pPr>
              <w:spacing w:after="0" w:before="0" w:line="240" w:lineRule="auto"/>
            </w:pPr>
            <w:r>
              <w:rPr>
                <w:rFonts w:ascii="Times New Roman" w:hAnsi="Times New Roman" w:eastAsia="Times New Roman" w:cs="Times New Roman"/>
                <w:b w:val="0"/>
                <w:i w:val="0"/>
                <w:color w:val="000000"/>
                <w:sz w:val="18"/>
              </w:rPr>
              <w:t>—</w:t>
            </w:r>
          </w:p>
        </w:tc>
      </w:tr>
      <w:tr>
        <w:tc>
          <w:tcPr>
            <w:tcW w:type="dxa" w:w="3009"/>
          </w:tcPr>
          <w:p>
            <w:pPr>
              <w:spacing w:after="0" w:before="0" w:line="240" w:lineRule="auto"/>
            </w:pPr>
            <w:r>
              <w:rPr>
                <w:rFonts w:ascii="Times New Roman" w:hAnsi="Times New Roman" w:eastAsia="Times New Roman" w:cs="Times New Roman"/>
                <w:b w:val="0"/>
                <w:i w:val="0"/>
                <w:color w:val="000000"/>
                <w:sz w:val="18"/>
              </w:rPr>
              <w:t>MAFFT+FastTree2 (MSA+ML)</w:t>
            </w:r>
          </w:p>
        </w:tc>
        <w:tc>
          <w:tcPr>
            <w:tcW w:type="dxa" w:w="3009"/>
          </w:tcPr>
          <w:p>
            <w:pPr>
              <w:spacing w:after="0" w:before="0" w:line="240" w:lineRule="auto"/>
            </w:pPr>
            <w:r>
              <w:rPr>
                <w:rFonts w:ascii="Times New Roman" w:hAnsi="Times New Roman" w:eastAsia="Times New Roman" w:cs="Times New Roman"/>
                <w:b/>
                <w:i w:val="0"/>
                <w:color w:val="000000"/>
                <w:sz w:val="18"/>
              </w:rPr>
              <w:t>0.045</w:t>
            </w:r>
          </w:p>
        </w:tc>
        <w:tc>
          <w:tcPr>
            <w:tcW w:type="dxa" w:w="3009"/>
          </w:tcPr>
          <w:p>
            <w:pPr>
              <w:spacing w:after="0" w:before="0" w:line="240" w:lineRule="auto"/>
            </w:pPr>
            <w:r>
              <w:rPr>
                <w:rFonts w:ascii="Times New Roman" w:hAnsi="Times New Roman" w:eastAsia="Times New Roman" w:cs="Times New Roman"/>
                <w:b w:val="0"/>
                <w:i w:val="0"/>
                <w:color w:val="000000"/>
                <w:sz w:val="18"/>
              </w:rPr>
              <w:t>not feasible ²</w:t>
            </w:r>
          </w:p>
        </w:tc>
      </w:tr>
      <w:tr>
        <w:tc>
          <w:tcPr>
            <w:tcW w:type="dxa" w:w="3009"/>
          </w:tcPr>
          <w:p>
            <w:pPr>
              <w:spacing w:after="0" w:before="0" w:line="240" w:lineRule="auto"/>
            </w:pPr>
            <w:r>
              <w:rPr>
                <w:rFonts w:ascii="Times New Roman" w:hAnsi="Times New Roman" w:eastAsia="Times New Roman" w:cs="Times New Roman"/>
                <w:b w:val="0"/>
                <w:i w:val="0"/>
                <w:color w:val="000000"/>
                <w:sz w:val="18"/>
              </w:rPr>
              <w:t>Published AFproject best (andi/Co-phylog/phylonium)</w:t>
            </w:r>
          </w:p>
        </w:tc>
        <w:tc>
          <w:tcPr>
            <w:tcW w:type="dxa" w:w="3009"/>
          </w:tcPr>
          <w:p>
            <w:pPr>
              <w:spacing w:after="0" w:before="0" w:line="240" w:lineRule="auto"/>
            </w:pPr>
            <w:r>
              <w:rPr>
                <w:rFonts w:ascii="Times New Roman" w:hAnsi="Times New Roman" w:eastAsia="Times New Roman" w:cs="Times New Roman"/>
                <w:b w:val="0"/>
                <w:i w:val="0"/>
                <w:color w:val="000000"/>
                <w:sz w:val="18"/>
              </w:rPr>
              <w:t>0.05</w:t>
            </w:r>
          </w:p>
        </w:tc>
        <w:tc>
          <w:tcPr>
            <w:tcW w:type="dxa" w:w="3009"/>
          </w:tcPr>
          <w:p>
            <w:pPr>
              <w:spacing w:after="0" w:before="0" w:line="240" w:lineRule="auto"/>
            </w:pPr>
            <w:r>
              <w:rPr>
                <w:rFonts w:ascii="Times New Roman" w:hAnsi="Times New Roman" w:eastAsia="Times New Roman" w:cs="Times New Roman"/>
                <w:b w:val="0"/>
                <w:i w:val="0"/>
                <w:color w:val="000000"/>
                <w:sz w:val="18"/>
              </w:rPr>
              <w:t>0.08</w:t>
            </w:r>
          </w:p>
        </w:tc>
      </w:tr>
    </w:tbl>
    <w:p>
      <w:pPr>
        <w:spacing w:after="0"/>
      </w:pPr>
    </w:p>
    <w:p>
      <w:pPr>
        <w:spacing w:after="120" w:line="360" w:lineRule="auto"/>
      </w:pPr>
      <w:r>
        <w:rPr>
          <w:rFonts w:ascii="Times New Roman" w:hAnsi="Times New Roman" w:eastAsia="Times New Roman" w:cs="Times New Roman"/>
          <w:b w:val="0"/>
          <w:i w:val="0"/>
          <w:color w:val="000000"/>
          <w:sz w:val="24"/>
        </w:rPr>
        <w:t>¹ nRF computed with ETE3 Tree.compare (unrooted, informative splits only, max_rf = 2(n−3)) — the AFproject scoring standard; not numerically comparable with the internal nRF of Tables 1–11. "—" = not tested (see notes); "n/a" =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p>
    <w:p>
      <w:pPr>
        <w:spacing w:after="120" w:line="360" w:lineRule="auto"/>
      </w:pPr>
      <w:r>
        <w:rPr>
          <w:rFonts w:ascii="Times New Roman" w:hAnsi="Times New Roman" w:eastAsia="Times New Roman" w:cs="Times New Roman"/>
          <w:b w:val="0"/>
          <w:i w:val="0"/>
          <w:color w:val="000000"/>
          <w:sz w:val="24"/>
        </w:rPr>
        <w:t>² Whole-genome alignment of 27 × ~4.6 Mb is impractical — the regime where alignment-free methods are the only option.</w:t>
      </w:r>
    </w:p>
    <w:p>
      <w:pPr>
        <w:spacing w:after="120" w:line="360" w:lineRule="auto"/>
      </w:pPr>
      <w:r>
        <w:rPr>
          <w:rFonts w:ascii="Times New Roman" w:hAnsi="Times New Roman" w:eastAsia="Times New Roman" w:cs="Times New Roman"/>
          <w:b w:val="0"/>
          <w:i w:val="0"/>
          <w:color w:val="000000"/>
          <w:sz w:val="24"/>
        </w:rPr>
        <w:t xml:space="preserve">³ kmacs (single-threaded) on the 27 × ~4.6 Mb dataset is far slower than either comparator: an earlier attempt produced no output after &gt;40 min and the run that ultimately yielded a tree was left running overnight, so we report no precise wall-clock figure for it. By contrast the logged runtimes are ~4 min for the full k-mer cosine k-scan (k=5…13; </w:t>
      </w:r>
      <w:r>
        <w:rPr>
          <w:rFonts w:ascii="Consolas" w:hAnsi="Consolas" w:eastAsia="Consolas" w:cs="Consolas"/>
          <w:b w:val="0"/>
          <w:i w:val="0"/>
          <w:color w:val="000000"/>
          <w:sz w:val="24"/>
        </w:rPr>
        <w:t>ecoli_suite_log.txt</w:t>
      </w:r>
      <w:r>
        <w:rPr>
          <w:rFonts w:ascii="Times New Roman" w:hAnsi="Times New Roman" w:eastAsia="Times New Roman" w:cs="Times New Roman"/>
          <w:b w:val="0"/>
          <w:i w:val="0"/>
          <w:color w:val="000000"/>
          <w:sz w:val="24"/>
        </w:rPr>
        <w:t>) and ~10 s for Mash. The resulting kmacs tree (nRF=0.542) does not beat the k-mer cosine plateau (0.500) on this dataset. Mash and the published AFproject leaderboard remain the stronger genome-scale comparators here.</w:t>
      </w:r>
    </w:p>
    <w:p>
      <w:pPr>
        <w:spacing w:after="120" w:line="360" w:lineRule="auto"/>
      </w:pPr>
      <w:r>
        <w:rPr>
          <w:rFonts w:ascii="Times New Roman" w:hAnsi="Times New Roman" w:eastAsia="Times New Roman" w:cs="Times New Roman"/>
          <w:b w:val="0"/>
          <w:i w:val="0"/>
          <w:color w:val="000000"/>
          <w:sz w:val="24"/>
        </w:rPr>
        <w:t>Three findings emerge:</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On deep-divergence indel-rich real data, the multi-k cosine ensemble reaches the community-benchmark ceiling.</w:t>
      </w:r>
      <w:r>
        <w:rPr>
          <w:rFonts w:ascii="Times New Roman" w:hAnsi="Times New Roman" w:eastAsia="Times New Roman" w:cs="Times New Roman"/>
          <w:b w:val="0"/>
          <w:i w:val="0"/>
          <w:color w:val="000000"/>
          <w:sz w:val="24"/>
        </w:rPr>
        <w:t xml:space="preserve"> 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The k parameter must scale with sequence length, and the multi-k ensemble provides this automatically.</w:t>
      </w:r>
      <w:r>
        <w:rPr>
          <w:rFonts w:ascii="Times New Roman" w:hAnsi="Times New Roman" w:eastAsia="Times New Roman" w:cs="Times New Roman"/>
          <w:b w:val="0"/>
          <w:i w:val="0"/>
          <w:color w:val="000000"/>
          <w:sz w:val="24"/>
        </w:rPr>
        <w:t xml:space="preserve"> 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E. coli/Shigella delineates an applicability boundary: shallow divergence dominated by recombination and gene flux.</w:t>
      </w:r>
      <w:r>
        <w:rPr>
          <w:rFonts w:ascii="Times New Roman" w:hAnsi="Times New Roman" w:eastAsia="Times New Roman" w:cs="Times New Roman"/>
          <w:b w:val="0"/>
          <w:i w:val="0"/>
          <w:color w:val="000000"/>
          <w:sz w:val="24"/>
        </w:rPr>
        <w:t xml:space="preserve"> On the 27-genome dataset (within-species divergence, recombination and gene gain/loss dominate over substitution), k-mer cosine plateaus at nRF=0.50 for all k≥9 and all multi-k variants, and kmacs (k=3; run left overnight, not instrumented for timing) performs no better (nRF=0.542),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 note that kmacs, despite being substring-based, also fails to exploit this fraction at its gene-scale k=3 configuration.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p>
      <w:pPr>
        <w:keepNext/>
        <w:spacing w:before="200" w:after="120" w:line="276" w:lineRule="auto"/>
      </w:pPr>
      <w:r>
        <w:rPr>
          <w:rFonts w:ascii="Times New Roman" w:hAnsi="Times New Roman" w:eastAsia="Times New Roman" w:cs="Times New Roman"/>
          <w:b/>
          <w:i w:val="0"/>
          <w:color w:val="000000"/>
          <w:sz w:val="26"/>
        </w:rPr>
        <w:t>Gene-length validation on real DNA: 13 mitochondrial loci</w:t>
      </w:r>
    </w:p>
    <w:p>
      <w:pPr>
        <w:spacing w:after="120" w:line="360" w:lineRule="auto"/>
      </w:pPr>
      <w:r>
        <w:rPr>
          <w:rFonts w:ascii="Times New Roman" w:hAnsi="Times New Roman" w:eastAsia="Times New Roman" w:cs="Times New Roman"/>
          <w:b w:val="0"/>
          <w:i w:val="0"/>
          <w:color w:val="000000"/>
          <w:sz w:val="24"/>
        </w:rPr>
        <w:t>The whole-genome benchmarks above leave the simulated gene-length regime (L=500 bp) untested on real DNA. We therefore extracted the 13 mitochondrial protein-coding genes (ND1–6, ND4L, COX1–3, ATP6/8, CYTB; 168–1,866 bp, 5 of 13 loci within the 500–1,000 bp band of the simulation benchmarks) from the same 25 fish genomes and ran per-gene benchmarks against a MAFFT+FastTree2 anchor, scoring ETE3 nRF both against the Fischer et al. whole-mitogenome reference tree and — more informatively — as direct Fusang-vs-FastTree2 topological agreement (Supplementary Table S17).</w:t>
      </w:r>
    </w:p>
    <w:p>
      <w:pPr>
        <w:spacing w:after="120" w:line="360" w:lineRule="auto"/>
      </w:pPr>
      <w:r>
        <w:rPr>
          <w:rFonts w:ascii="Times New Roman" w:hAnsi="Times New Roman" w:eastAsia="Times New Roman" w:cs="Times New Roman"/>
          <w:b w:val="0"/>
          <w:i w:val="0"/>
          <w:color w:val="000000"/>
          <w:sz w:val="24"/>
        </w:rPr>
        <w:t>Per-gene gene-tree discordance dominates reference-relative scores: even the MAFFT+FastTree2 anchor differs from the whole-mitogenome reference by nRF=0.332±0.175, so no per-gene tree can be expected to match the full-genome phylogeny. Against this background, the multi-k ensemble (mean of k=5,7,9 cosine distances) agrees with the MSA+ML anchor at nRF=0.451±0.127 across the 13 loci. Reference-relative scores show the same k-dependence as in simulation: the multi-k ensemble (0.535±0.113) and single k=7 (0.532±0.136) perform comparably, and both outperform the gene-scale default k=5 (0.601±0.107). Agreement is length-dependent: loci ≥1 kb show the closest Fusang–FastTree2 agreement (mean nRF=0.37, n=5), while the three shortest loci (ATP8 168 bp, ND4L 297 bp, ND3 350 bp; mean nRF=0.59) are poorly resolved by both method families. Because mitochondrial genes evolve under a low-indel regime (per-locus alignment gap fractions 0–1.7%), this benchmark complements the indel-rich whole-genome test of Table 12: it probes the low-indel gene-length regime on real DNA, and its interpretation is agreement with the MSA+ML reference pipeline rather than absolute accuracy. We note that this is a single locus set from one mitogenome clade; broader gene-family validation remains future work.</w:t>
      </w:r>
    </w:p>
    <w:p>
      <w:pPr>
        <w:keepNext/>
        <w:spacing w:before="200" w:after="120" w:line="276" w:lineRule="auto"/>
      </w:pPr>
      <w:r>
        <w:rPr>
          <w:rFonts w:ascii="Times New Roman" w:hAnsi="Times New Roman" w:eastAsia="Times New Roman" w:cs="Times New Roman"/>
          <w:b/>
          <w:i w:val="0"/>
          <w:color w:val="000000"/>
          <w:sz w:val="26"/>
        </w:rPr>
        <w:t>Parameter stability and reproducibility</w:t>
      </w:r>
    </w:p>
    <w:p>
      <w:pPr>
        <w:spacing w:after="120" w:line="360" w:lineRule="auto"/>
      </w:pPr>
      <w:r>
        <w:rPr>
          <w:rFonts w:ascii="Times New Roman" w:hAnsi="Times New Roman" w:eastAsia="Times New Roman" w:cs="Times New Roman"/>
          <w:b w:val="0"/>
          <w:i w:val="0"/>
          <w:color w:val="000000"/>
          <w:sz w:val="24"/>
        </w:rPr>
        <w:t>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pPr>
        <w:keepNext/>
        <w:spacing w:before="240" w:after="120" w:line="276" w:lineRule="auto"/>
      </w:pPr>
      <w:r>
        <w:rPr>
          <w:rFonts w:ascii="Times New Roman" w:hAnsi="Times New Roman" w:eastAsia="Times New Roman" w:cs="Times New Roman"/>
          <w:b/>
          <w:i w:val="0"/>
          <w:color w:val="000000"/>
          <w:sz w:val="28"/>
        </w:rPr>
        <w:t>DISCUSSION</w:t>
      </w:r>
    </w:p>
    <w:p>
      <w:pPr>
        <w:keepNext/>
        <w:spacing w:before="200" w:after="120" w:line="276" w:lineRule="auto"/>
      </w:pPr>
      <w:r>
        <w:rPr>
          <w:rFonts w:ascii="Times New Roman" w:hAnsi="Times New Roman" w:eastAsia="Times New Roman" w:cs="Times New Roman"/>
          <w:b/>
          <w:i w:val="0"/>
          <w:color w:val="000000"/>
          <w:sz w:val="26"/>
        </w:rPr>
        <w:t>K-mer frequency vectors for indel-rich phylogenetics</w:t>
      </w:r>
    </w:p>
    <w:p>
      <w:pPr>
        <w:spacing w:after="120" w:line="360" w:lineRule="auto"/>
      </w:pPr>
      <w:r>
        <w:rPr>
          <w:rFonts w:ascii="Times New Roman" w:hAnsi="Times New Roman" w:eastAsia="Times New Roman" w:cs="Times New Roman"/>
          <w:b w:val="0"/>
          <w:i w:val="0"/>
          <w:color w:val="000000"/>
          <w:sz w:val="24"/>
        </w:rPr>
        <w:t>The central contribution of this work is the systematic evaluation of k-mer frequency vector cosine distances for phylogenetic inference under indel-rich conditions, delivered as an open-source tool (Fusang: Tardigrade Edition) with automatic parameter selection, a multi-k ensemble requiring no manual k choice, and an empirically delimited domain of applicability. Spaced k-mers were introduced by PatternHunter in 2002 [30]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spacing w:after="120" w:line="360" w:lineRule="auto"/>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i w:val="0"/>
          <w:color w:val="000000"/>
          <w:sz w:val="24"/>
        </w:rPr>
        <w:t>Cosine distance is the primary accuracy driver; the spaced pattern provides a significant but modest secondary gain, whereas NNI refinement does not.</w:t>
      </w:r>
      <w:r>
        <w:rPr>
          <w:rFonts w:ascii="Times New Roman" w:hAnsi="Times New Roman" w:eastAsia="Times New Roman" w:cs="Times New Roman"/>
          <w:b w:val="0"/>
          <w:i w:val="0"/>
          <w:color w:val="000000"/>
          <w:sz w:val="24"/>
        </w:rPr>
        <w:t xml:space="preserve"> On the 130-seed INDELible benchmark, the like-for-like NJ comparison shows spaced k=5,gap2 significantly outperforming contiguous k=5 cosine (TRUE-relative 0.2003 vs 0.2078, spaced better on 75/130 seeds, paired Wilcoxon p=5.54×10⁻⁴, paired d=0.337) — our earlier 27-seed FT2-relative test was underpowered (p=0.26), and even on all 130 seeds the FT2-relative version of the identical contrast is not significant (p=0.42), illustrating how that reference frame masks real differences. BME-scored NNI refinement, by contrast, adds no detectable gain over the pure-NJ spaced tree (0.1990 vs 0.2003, p=0.34); the significant gain reported in earlier versions (p=7.1×10⁻¹³) is withdrawn. The spaced-pattern benefit is confined to indel-rich DNA: on the gap-rich SwissTree protein benchmark the advantage we previously reported (p=0.0078) was an artefact of a root-dependent nRF implementation and disappears under the standard metric (Table 10; spaced vs contiguous p=0.64 and p=0.094 for the two patterns tested), so gap content alone does not predict a spaced-pattern gain. On indel-rich DNA a wider gap (gap3) improves over gap2 by 10.5% (Supplementary Table S2). Finally, at this scale the choice of k matters more than either of these refinements: contiguous k=7 (0.1938) and the multi-k ensemble (0.1940) are both significantly more accurate than the default spaced+NNI pipeline (0.1990; p=3.9×10⁻³ and p=7.7×10⁻³), so we present the default configuration as robust rather than optimal. The systematic evaluation of k-mer frequency vector cosine distances across patterns and sequence types is the core methodological contribution.</w:t>
      </w:r>
    </w:p>
    <w:p>
      <w:pPr>
        <w:spacing w:after="120" w:line="360" w:lineRule="auto"/>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Indel robustness and absolute accuracy are separate properties, and MinHash's deficit at gene length is the latter.</w:t>
      </w:r>
      <w:r>
        <w:rPr>
          <w:rFonts w:ascii="Times New Roman" w:hAnsi="Times New Roman" w:eastAsia="Times New Roman" w:cs="Times New Roman"/>
          <w:b w:val="0"/>
          <w:i w:val="0"/>
          <w:color w:val="000000"/>
          <w:sz w:val="24"/>
        </w:rPr>
        <w:t xml:space="preserve"> On indel-rich data Mash (MinHash Jaccard, 30 seeds) produces trees at nRF=0.4034 ± 0.0844 versus 0.1926 ± 0.0272 for k-mer cosine (both vs the true tree). Decomposing this: under indels Mash degrades significantly but modestly (0.3486 → 0.4034, per-seed ratio 1.164 ± 0.244, p=3.0×10⁻³), whereas k-mer cosine </w:t>
      </w:r>
      <w:r>
        <w:rPr>
          <w:rFonts w:ascii="Times New Roman" w:hAnsi="Times New Roman" w:eastAsia="Times New Roman" w:cs="Times New Roman"/>
          <w:b w:val="0"/>
          <w:i/>
          <w:color w:val="000000"/>
          <w:sz w:val="24"/>
        </w:rPr>
        <w:t>improves</w:t>
      </w:r>
      <w:r>
        <w:rPr>
          <w:rFonts w:ascii="Times New Roman" w:hAnsi="Times New Roman" w:eastAsia="Times New Roman" w:cs="Times New Roman"/>
          <w:b w:val="0"/>
          <w:i w:val="0"/>
          <w:color w:val="000000"/>
          <w:sz w:val="24"/>
        </w:rPr>
        <w:t xml:space="preserve"> (0.2364 → 0.1926, ratio 0.827 ± 0.144, p=6.2×10⁻⁶) — so the two are not "both degrading by the same factor, with cosine marginally ahead", as an earlier version of this manuscript claimed on the basis of defective simulator data (1.93× vs 1.97×, absolute values 0.762 vs 0.742); that claim is withdrawn together with the underlying data. Mash's problem on 500-bp sequences is a poor baseline, not exceptional indel sensitivity: with k=21 nearly every 21-mer in a 500-bp sequence is unique, so Jaccard similarities saturate near zero and the sketch carries little signal whether or not indels are present. Positional information is indeed discarded by MinHash, but at this sequence length the dominant term is sketch sparsity rather than indel-induced disruption.</w:t>
      </w:r>
    </w:p>
    <w:p>
      <w:pPr>
        <w:spacing w:after="120" w:line="360" w:lineRule="auto"/>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The distance metric, the k-mer representation and the value of k must all fit the data.</w:t>
      </w:r>
      <w:r>
        <w:rPr>
          <w:rFonts w:ascii="Times New Roman" w:hAnsi="Times New Roman" w:eastAsia="Times New Roman" w:cs="Times New Roman"/>
          <w:b w:val="0"/>
          <w:i w:val="0"/>
          <w:color w:val="000000"/>
          <w:sz w:val="24"/>
        </w:rPr>
        <w:t xml:space="preserve"> On clean gene-length data, MinHash Jaccard (nRF=0.3486 ± 0.0351, 30 seeds) is 1.5× worse than k-mer cosine (0.2364 ± 0.0336) — a large, not marginal, gap (paired d=3.12, Fusang better in 30/30 seeds). On indel data the gap widens further (0.4034 vs 0.1926, d=2.61). Within the k-mer family itself the choice of k is not neutral: at L=500 bp contiguous k=7 (0.1938) and the multi-k ensemble (0.1940) both beat the default spaced k=5 configuration (0.1990) significantly, while k=5 (0.2078) is clearly worst. This underscores that "alignment-free" is not a monolithic category: method and parameter selection should be guided by the expected evolutionary process and data characteristics, sketch-based distances tuned for whole genomes should not be assumed transferable to gene-length input, and a fixed default k should not be assumed optimal across sequence lengths and divergence levels.</w:t>
      </w:r>
    </w:p>
    <w:p>
      <w:pPr>
        <w:keepNext/>
        <w:spacing w:before="200" w:after="120" w:line="276" w:lineRule="auto"/>
      </w:pPr>
      <w:r>
        <w:rPr>
          <w:rFonts w:ascii="Times New Roman" w:hAnsi="Times New Roman" w:eastAsia="Times New Roman" w:cs="Times New Roman"/>
          <w:b/>
          <w:i w:val="0"/>
          <w:color w:val="000000"/>
          <w:sz w:val="26"/>
        </w:rPr>
        <w:t>From Fusang v1 to Tardigrade Edition: an architectural evolution</w:t>
      </w:r>
    </w:p>
    <w:p>
      <w:pPr>
        <w:spacing w:after="120" w:line="360" w:lineRule="auto"/>
      </w:pPr>
      <w:r>
        <w:rPr>
          <w:rFonts w:ascii="Times New Roman" w:hAnsi="Times New Roman" w:eastAsia="Times New Roman" w:cs="Times New Roman"/>
          <w:b w:val="0"/>
          <w:i w:val="0"/>
          <w:color w:val="000000"/>
          <w:sz w:val="24"/>
        </w:rPr>
        <w:t>The Fusang lineage illustrates a methodological evolution from specialized to general-purpose phylogenetic inference. Our v1 [6] established proof-of-concept: alignment-free phylogenetics can work, but was limited to 4–40 taxa and required pre-trained deep learning models. The Tardigrade Edition represents a complete re-architecture:</w:t>
      </w:r>
    </w:p>
    <w:p>
      <w:pPr>
        <w:pStyle w:val="ListBullet"/>
        <w:spacing w:after="60" w:line="360" w:lineRule="auto"/>
      </w:pPr>
      <w:r>
        <w:rPr>
          <w:rFonts w:ascii="Times New Roman" w:hAnsi="Times New Roman" w:eastAsia="Times New Roman" w:cs="Times New Roman"/>
          <w:b/>
          <w:i w:val="0"/>
          <w:color w:val="000000"/>
          <w:sz w:val="24"/>
        </w:rPr>
        <w:t>Representation</w:t>
      </w:r>
      <w:r>
        <w:rPr>
          <w:rFonts w:ascii="Times New Roman" w:hAnsi="Times New Roman" w:eastAsia="Times New Roman" w:cs="Times New Roman"/>
          <w:b w:val="0"/>
          <w:i w:val="0"/>
          <w:color w:val="000000"/>
          <w:sz w:val="24"/>
        </w:rPr>
        <w:t>: neural network features → spaced k-mer frequency vectors</w:t>
      </w:r>
    </w:p>
    <w:p>
      <w:pPr>
        <w:pStyle w:val="ListBullet"/>
        <w:spacing w:after="60" w:line="360" w:lineRule="auto"/>
      </w:pPr>
      <w:r>
        <w:rPr>
          <w:rFonts w:ascii="Times New Roman" w:hAnsi="Times New Roman" w:eastAsia="Times New Roman" w:cs="Times New Roman"/>
          <w:b/>
          <w:i w:val="0"/>
          <w:color w:val="000000"/>
          <w:sz w:val="24"/>
        </w:rPr>
        <w:t>Scalability</w:t>
      </w:r>
      <w:r>
        <w:rPr>
          <w:rFonts w:ascii="Times New Roman" w:hAnsi="Times New Roman" w:eastAsia="Times New Roman" w:cs="Times New Roman"/>
          <w:b w:val="0"/>
          <w:i w:val="0"/>
          <w:color w:val="000000"/>
          <w:sz w:val="24"/>
        </w:rPr>
        <w:t>: 40 taxa maximum → 10,000+ taxa</w:t>
      </w:r>
    </w:p>
    <w:p>
      <w:pPr>
        <w:pStyle w:val="ListBullet"/>
        <w:spacing w:after="60" w:line="360" w:lineRule="auto"/>
      </w:pPr>
      <w:r>
        <w:rPr>
          <w:rFonts w:ascii="Times New Roman" w:hAnsi="Times New Roman" w:eastAsia="Times New Roman" w:cs="Times New Roman"/>
          <w:b/>
          <w:i w:val="0"/>
          <w:color w:val="000000"/>
          <w:sz w:val="24"/>
        </w:rPr>
        <w:t>Speed</w:t>
      </w:r>
      <w:r>
        <w:rPr>
          <w:rFonts w:ascii="Times New Roman" w:hAnsi="Times New Roman" w:eastAsia="Times New Roman" w:cs="Times New Roman"/>
          <w:b w:val="0"/>
          <w:i w:val="0"/>
          <w:color w:val="000000"/>
          <w:sz w:val="24"/>
        </w:rPr>
        <w:t>: GPU-dependent inference → CPU-only, minutes for thousands of taxa</w:t>
      </w:r>
    </w:p>
    <w:p>
      <w:pPr>
        <w:pStyle w:val="ListBullet"/>
        <w:spacing w:after="60" w:line="360" w:lineRule="auto"/>
      </w:pPr>
      <w:r>
        <w:rPr>
          <w:rFonts w:ascii="Times New Roman" w:hAnsi="Times New Roman" w:eastAsia="Times New Roman" w:cs="Times New Roman"/>
          <w:b/>
          <w:i w:val="0"/>
          <w:color w:val="000000"/>
          <w:sz w:val="24"/>
        </w:rPr>
        <w:t>Deployment</w:t>
      </w:r>
      <w:r>
        <w:rPr>
          <w:rFonts w:ascii="Times New Roman" w:hAnsi="Times New Roman" w:eastAsia="Times New Roman" w:cs="Times New Roman"/>
          <w:b w:val="0"/>
          <w:i w:val="0"/>
          <w:color w:val="000000"/>
          <w:sz w:val="24"/>
        </w:rPr>
        <w:t>: Docker/cloud requirement → single binary + Python script</w:t>
      </w:r>
    </w:p>
    <w:p>
      <w:pPr>
        <w:pStyle w:val="ListBullet"/>
        <w:spacing w:after="60" w:line="360" w:lineRule="auto"/>
      </w:pPr>
      <w:r>
        <w:rPr>
          <w:rFonts w:ascii="Times New Roman" w:hAnsi="Times New Roman" w:eastAsia="Times New Roman" w:cs="Times New Roman"/>
          <w:b/>
          <w:i w:val="0"/>
          <w:color w:val="000000"/>
          <w:sz w:val="24"/>
        </w:rPr>
        <w:t>Indel handling</w:t>
      </w:r>
      <w:r>
        <w:rPr>
          <w:rFonts w:ascii="Times New Roman" w:hAnsi="Times New Roman" w:eastAsia="Times New Roman" w:cs="Times New Roman"/>
          <w:b w:val="0"/>
          <w:i w:val="0"/>
          <w:color w:val="000000"/>
          <w:sz w:val="24"/>
        </w:rPr>
        <w:t>: no explicit indel modeling → hypothesized robustness from spaced sampling (empirically modest at indel rate 0.02; see Results)</w:t>
      </w:r>
    </w:p>
    <w:p>
      <w:pPr>
        <w:spacing w:after="120" w:line="360" w:lineRule="auto"/>
      </w:pPr>
      <w:r>
        <w:rPr>
          <w:rFonts w:ascii="Times New Roman" w:hAnsi="Times New Roman" w:eastAsia="Times New Roman" w:cs="Times New Roman"/>
          <w:b w:val="0"/>
          <w:i w:val="0"/>
          <w:color w:val="000000"/>
          <w:sz w:val="24"/>
        </w:rPr>
        <w:t xml:space="preserve">This evolution demonstrates that feature engineering — specifically, </w:t>
      </w:r>
      <w:r>
        <w:rPr>
          <w:rFonts w:ascii="Times New Roman" w:hAnsi="Times New Roman" w:eastAsia="Times New Roman" w:cs="Times New Roman"/>
          <w:b/>
          <w:i w:val="0"/>
          <w:color w:val="000000"/>
          <w:sz w:val="24"/>
        </w:rPr>
        <w:t>k-mer frequency vector cosine distances</w:t>
      </w:r>
      <w:r>
        <w:rPr>
          <w:rFonts w:ascii="Times New Roman" w:hAnsi="Times New Roman" w:eastAsia="Times New Roman" w:cs="Times New Roman"/>
          <w:b w:val="0"/>
          <w:i w:val="0"/>
          <w:color w:val="000000"/>
          <w:sz w:val="24"/>
        </w:rPr>
        <w:t xml:space="preserve"> — can match or exceed learned representations for phylogenetic inference while providing order-of-magnitude improvements in speed, scalability, and accessibility. The key insight is that k-mer frequency vectors with cosine distance preserve sufficient phylogenetic signal for accurate distance-based tree inference, while spaced sampling is hypothesized to provide additional robustness against indel-induced length variation (an advantage that is empirically modest at the tested indel rate).</w:t>
      </w:r>
    </w:p>
    <w:p>
      <w:pPr>
        <w:keepNext/>
        <w:spacing w:before="200" w:after="120" w:line="276" w:lineRule="auto"/>
      </w:pPr>
      <w:r>
        <w:rPr>
          <w:rFonts w:ascii="Times New Roman" w:hAnsi="Times New Roman" w:eastAsia="Times New Roman" w:cs="Times New Roman"/>
          <w:b/>
          <w:i w:val="0"/>
          <w:color w:val="000000"/>
          <w:sz w:val="26"/>
        </w:rPr>
        <w:t>The role of pipeline simplicity in phylogenetic accuracy</w:t>
      </w:r>
    </w:p>
    <w:p>
      <w:pPr>
        <w:spacing w:after="120" w:line="360" w:lineRule="auto"/>
      </w:pPr>
      <w:r>
        <w:rPr>
          <w:rFonts w:ascii="Times New Roman" w:hAnsi="Times New Roman" w:eastAsia="Times New Roman" w:cs="Times New Roman"/>
          <w:b w:val="0"/>
          <w:i w:val="0"/>
          <w:color w:val="000000"/>
          <w:sz w:val="24"/>
        </w:rPr>
        <w:t>The discovery that the simplified pipeline (nRF=0.081, illustrative single seed: n=200, indel rate=0.02, seed 42, standard root-independent unrooted RF) dramatically outperforms the full DCM pipeline (nRF=0.096–0.523 across eleven max_group_size settings on the same seed)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spacing w:after="120" w:line="360" w:lineRule="auto"/>
      </w:pPr>
      <w:r>
        <w:rPr>
          <w:rFonts w:ascii="Times New Roman" w:hAnsi="Times New Roman" w:eastAsia="Times New Roman" w:cs="Times New Roman"/>
          <w:b w:val="0"/>
          <w:i w:val="0"/>
          <w:color w:val="000000"/>
          <w:sz w:val="24"/>
        </w:rPr>
        <w:t>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spacing w:after="120" w:line="360" w:lineRule="auto"/>
      </w:pPr>
      <w:r>
        <w:rPr>
          <w:rFonts w:ascii="Times New Roman" w:hAnsi="Times New Roman" w:eastAsia="Times New Roman" w:cs="Times New Roman"/>
          <w:b w:val="0"/>
          <w:i w:val="0"/>
          <w:color w:val="000000"/>
          <w:sz w:val="24"/>
        </w:rPr>
        <w:t>We therefore recommend the simplified pipeline as the default for n ≤ 500. For larger datasets Fusang switches to DCM+EPA, but we no longer claim an accuracy advantage for it: the comparison on which that claim rested (n=1,000: DCM nRF=0.083 ± 0.005, 9 seeds 401–409, vs simplified nRF=0.102 on seed 401) was obtained under the superseded nRF implementation and the corresponding true trees are unavailable, so it cannot be rescored; under the standard metric the ordering reverses (simplified 0.2617 vs DCM+EPA 0.2726 on ten clean seeds, 10/10, p=0.0020). DCM+EPA is retained for n &gt; 500 on runtime grounds (≈3× faster: 162 s vs 502 s per seed at n=1,000) and for parallelism, not for accuracy — it addresses the scalability needed when pairwise distance computation (scaling as O(n²)) becomes the computational bottleneck.</w:t>
      </w:r>
    </w:p>
    <w:p>
      <w:pPr>
        <w:keepNext/>
        <w:spacing w:before="200" w:after="120" w:line="276" w:lineRule="auto"/>
      </w:pPr>
      <w:r>
        <w:rPr>
          <w:rFonts w:ascii="Times New Roman" w:hAnsi="Times New Roman" w:eastAsia="Times New Roman" w:cs="Times New Roman"/>
          <w:b/>
          <w:i w:val="0"/>
          <w:color w:val="000000"/>
          <w:sz w:val="26"/>
        </w:rPr>
        <w:t>Limitations and future work</w:t>
      </w:r>
    </w:p>
    <w:p>
      <w:pPr>
        <w:spacing w:after="120" w:line="360" w:lineRule="auto"/>
      </w:pPr>
      <w:r>
        <w:rPr>
          <w:rFonts w:ascii="Times New Roman" w:hAnsi="Times New Roman" w:eastAsia="Times New Roman" w:cs="Times New Roman"/>
          <w:b w:val="0"/>
          <w:i w:val="0"/>
          <w:color w:val="000000"/>
          <w:sz w:val="24"/>
        </w:rPr>
        <w:t>Several limitations of the current study warrant discussion.</w:t>
      </w:r>
    </w:p>
    <w:p>
      <w:pPr>
        <w:spacing w:after="120" w:line="360" w:lineRule="auto"/>
      </w:pPr>
      <w:r>
        <w:rPr>
          <w:rFonts w:ascii="Times New Roman" w:hAnsi="Times New Roman" w:eastAsia="Times New Roman" w:cs="Times New Roman"/>
          <w:b/>
          <w:i w:val="0"/>
          <w:color w:val="000000"/>
          <w:sz w:val="24"/>
        </w:rPr>
        <w:t>Scale-dependent accuracy</w:t>
      </w:r>
      <w:r>
        <w:rPr>
          <w:rFonts w:ascii="Times New Roman" w:hAnsi="Times New Roman" w:eastAsia="Times New Roman" w:cs="Times New Roman"/>
          <w:b w:val="0"/>
          <w:i w:val="0"/>
          <w:color w:val="000000"/>
          <w:sz w:val="24"/>
        </w:rPr>
        <w:t xml:space="preserve">: On clean (no-indel) data, MSA-based methods maintain a clear advantage at every scale tested. A 30-seed benchmark at n=500 shows Fusang nRF=0.244 ± 0.019 vs FastTree2 nRF=0.213 ± 0.017 (paired Cohen's d=2.17, Wilcoxon p=1.73×10⁻⁶); at n=1000 the gap widens to 0.257 ± 0.019 vs 0.212 ± 0.016 (d=3.50, p=1.73×10⁻⁶); and at n=200 FastTree2 is also significantly better (0.234 ± 0.035 vs 0.210 ± 0.034, p=2.07×10⁻¹⁴). After Bonferroni correction across the six ground-truth datasets (α≈0.008), every clean-data comparison remains significant in favour of FastTree2. This is expected: on clean data without indels, alignment-based ML methods benefit from full positional information. </w:t>
      </w:r>
      <w:r>
        <w:rPr>
          <w:rFonts w:ascii="Times New Roman" w:hAnsi="Times New Roman" w:eastAsia="Times New Roman" w:cs="Times New Roman"/>
          <w:b/>
          <w:i w:val="0"/>
          <w:color w:val="000000"/>
          <w:sz w:val="24"/>
        </w:rPr>
        <w:t>Pipeline caveat on cross-scale comparisons.</w:t>
      </w:r>
      <w:r>
        <w:rPr>
          <w:rFonts w:ascii="Times New Roman" w:hAnsi="Times New Roman" w:eastAsia="Times New Roman" w:cs="Times New Roman"/>
          <w:b w:val="0"/>
          <w:i w:val="0"/>
          <w:color w:val="000000"/>
          <w:sz w:val="24"/>
        </w:rPr>
        <w:t xml:space="preserve"> Fusang switches automatically to the DCM+EPA pipeline for n &gt; 500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so the n=1000 values in Table 1 were produced by DCM+EPA whereas the n=200 and n=500 values were produced by the simplified pipeline; the cross-scale trend therefore conflates the effect of this pipeline switch with any effect of taxon count, and should not be interpreted as the pure scaling behaviour of a single pipeline. This also means the apparent degradation of Fusang between n=500 and n=1,000 is partly a pipeline artefact: rerunning the same n=1,000 seeds through the simplified pipeline recovers about 0.011 nRF (0.2726 → 0.2617), so a substantial part of that gap is attributable to the automatic switch to DCM+EPA above </w:t>
      </w:r>
      <w:r>
        <w:rPr>
          <w:rFonts w:ascii="Consolas" w:hAnsi="Consolas" w:eastAsia="Consolas" w:cs="Consolas"/>
          <w:b w:val="0"/>
          <w:i w:val="0"/>
          <w:color w:val="000000"/>
          <w:sz w:val="24"/>
        </w:rPr>
        <w:t>SIMPLE_THRESHOLD</w:t>
      </w:r>
      <w:r>
        <w:rPr>
          <w:rFonts w:ascii="Times New Roman" w:hAnsi="Times New Roman" w:eastAsia="Times New Roman" w:cs="Times New Roman"/>
          <w:b w:val="0"/>
          <w:i w:val="0"/>
          <w:color w:val="000000"/>
          <w:sz w:val="24"/>
        </w:rPr>
        <w:t xml:space="preserve"> rather than to taxon count per se. Fusang's only statistically significant advantages in this study are on indel-rich data at indel rate 0.05 (n=200), and even there the effect is small; at the biologically realistic rate of 0.02 the n=200 difference is numerical only and not significant at α=0.05 (p=0.0507).</w:t>
      </w:r>
    </w:p>
    <w:p>
      <w:pPr>
        <w:spacing w:after="120" w:line="360" w:lineRule="auto"/>
      </w:pPr>
      <w:r>
        <w:rPr>
          <w:rFonts w:ascii="Times New Roman" w:hAnsi="Times New Roman" w:eastAsia="Times New Roman" w:cs="Times New Roman"/>
          <w:b w:val="0"/>
          <w:i w:val="0"/>
          <w:color w:val="000000"/>
          <w:sz w:val="24"/>
        </w:rPr>
        <w:t>On indel-rich data the advantage does not scale up: at n=500 indel the two methods are statistically indistinguishable (Fusang 0.208 ± 0.019 vs FastTree2 0.209 ± 0.017, paired Wilcoxon p=0.294, d=−0.07), and at n=1000 indel FastTree2 is significantly better (Fusang 0.226 ± 0.015 vs 0.212 ± 0.014, p=1.54×10⁻⁴, d=0.98). The marginal n=200 indel advantage (p=0.0507, borderline at α=0.05) therefore reverses with scale rather than growing. The simplified pipeline is the default for n ≤ 500; for n &gt; 500 Fusang switches to DCM+EPA for scalability and parallelism, not for accuracy (see above). An earlier configuration raised the threshold to 2,000; under the superseded nRF implementation this appeared to degrade accuracy at n=1,000 (0.088 → 0.102) and was reverted, but that basis is withdrawn — under the standard metric the simplified pipeline, which a threshold of 2,000 would have selected at n=1,000, is in fact the more accurate of the two. A systematic multi-seed accuracy comparison across the n=500–2,000 transition zone remains future work.</w:t>
      </w:r>
    </w:p>
    <w:p>
      <w:pPr>
        <w:spacing w:after="120" w:line="360" w:lineRule="auto"/>
      </w:pPr>
      <w:r>
        <w:rPr>
          <w:rFonts w:ascii="Times New Roman" w:hAnsi="Times New Roman" w:eastAsia="Times New Roman" w:cs="Times New Roman"/>
          <w:b/>
          <w:i w:val="0"/>
          <w:color w:val="000000"/>
          <w:sz w:val="24"/>
        </w:rPr>
        <w:t>Simulated-to-real transfer</w:t>
      </w:r>
      <w:r>
        <w:rPr>
          <w:rFonts w:ascii="Times New Roman" w:hAnsi="Times New Roman" w:eastAsia="Times New Roman" w:cs="Times New Roman"/>
          <w:b w:val="0"/>
          <w:i w:val="0"/>
          <w:color w:val="000000"/>
          <w:sz w:val="24"/>
        </w:rPr>
        <w:t xml:space="preserve">: While 16S rRNA validation (73 analysed taxa, 13 phyla under corrected NCBI Taxonomy annotation; Supplementary Note S17) confirms that Fusang detects biological phylogenetic signal — same-rank tree distances are significantly reduced at every level (phylum 31.4% to genus 78.6%, all p&lt;1×10⁻⁴) and 3/7 assessable phyla plus 10/14 assessable orders are recovered as monophyletic — accuracy on this structured RNA gene is lower than MSA-based methods (Fusang vs taxonomy nRF=0.414 vs FastTree2 vs taxonomy nRF=0.343, RF/(2n−6) normalisation). The nRF=0.371 between Fusang and the rebuilt FastTree2 tree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10) provides additional cross-domain validation: k-mer frequency methods achieve mean nRF=0.329 on real protein gene trees (11 families, 21–159 taxa; median alignment gap content 50%, range 11–81%), while Co-phylog's best configuration (halfctx=11) achieves nRF=0.727 (paired Wilcoxon p=0.0010, Cohen's d=−3.47 vs Fusang pattern </w:t>
      </w:r>
      <w:r>
        <w:rPr>
          <w:rFonts w:ascii="Consolas" w:hAnsi="Consolas" w:eastAsia="Consolas" w:cs="Consolas"/>
          <w:b w:val="0"/>
          <w:i w:val="0"/>
          <w:color w:val="000000"/>
          <w:sz w:val="24"/>
        </w:rPr>
        <w:t>11011</w:t>
      </w:r>
      <w:r>
        <w:rPr>
          <w:rFonts w:ascii="Times New Roman" w:hAnsi="Times New Roman" w:eastAsia="Times New Roman" w:cs="Times New Roman"/>
          <w:b w:val="0"/>
          <w:i w:val="0"/>
          <w:color w:val="000000"/>
          <w:sz w:val="24"/>
        </w:rPr>
        <w:t xml:space="preserve">) and its default (halfctx=5) achieves nRF=0.786 (p=0.0020, d=−2.28) — confirming that k-mer approaches transfer robustly from simulated DNA to real, strongly indel-rich protein data, while also making clear that the absolute error of every method on this benchmark is high (nRF≈0.33 for the best configuration). On BAliBASE v3.0 protein alignments (20 families) the picture is markedly less favourable, and it reverses a claim made in earlier versions of this manuscript: Fusang and FastTree2 trees share almost no topology (median nRF=0.982, mean 0.826; only 3/20 families below 0.5, of which two are exact matches — Supplementary Table S7). We previously reported "competitive performance with 65% of families below nRF 0.5 (median 0.45)"; that statement was produced by the root-dependent nRF implementation described in Materials and Methods and is withdrawn. Two caveats bound the interpretation: this is a Fusang-vs-FastTree2 </w:t>
      </w:r>
      <w:r>
        <w:rPr>
          <w:rFonts w:ascii="Times New Roman" w:hAnsi="Times New Roman" w:eastAsia="Times New Roman" w:cs="Times New Roman"/>
          <w:b w:val="0"/>
          <w:i/>
          <w:color w:val="000000"/>
          <w:sz w:val="24"/>
        </w:rPr>
        <w:t>agreement</w:t>
      </w:r>
      <w:r>
        <w:rPr>
          <w:rFonts w:ascii="Times New Roman" w:hAnsi="Times New Roman" w:eastAsia="Times New Roman" w:cs="Times New Roman"/>
          <w:b w:val="0"/>
          <w:i w:val="0"/>
          <w:color w:val="000000"/>
          <w:sz w:val="24"/>
        </w:rPr>
        <w:t xml:space="preserve"> statistic, not an accuracy measurement against a trusted reference (BAliBASE provides alignments, not reference trees), so it cannot establish which method is wrong; and the mechanism is plausible — short protein sequences (111–576 aa) over a 20-letter alphabet give sparse k-mer frequency vectors very little signal, consistent with the length-dependence we observe on the mitochondrial loci. We therefore report BAliBASE as an applicability boundary rather than as evidence of competitive accuracy. Real genome-scale validation on AFproject community datasets (Table 12) shows the multi-k ensemble reaching the community-benchmark ceiling on deep-divergence indel-rich mitochondrial genomes (nRF=0.045, matched by all top methods), but also delineates a boundary: on shallow-divergence E. coli/Shigella genomes where recombination and gene flux dominate, k-mer cosine (nRF=0.50) is outperformed by Mash (0.12–0.21) and anchor-based methods (published 0.08). The gene-length DNA regime of the simulation benchmarks is now covered by the 13-locus mitochondrial benchmark above (168–1,866 bp), which shows moderate Fusang–FastTree2 agreement (multi-k nRF=0.451±0.127) under a low-indel regime with gene-tree discordance as the dominant error source; real gene-length DNA with documented indel-rich evolution and trusted trees remains an open validation target, with candidate data types including viral quasispecies collections and rapidly evolving gene families with curated reference trees.</w:t>
      </w:r>
    </w:p>
    <w:p>
      <w:pPr>
        <w:spacing w:after="120" w:line="360" w:lineRule="auto"/>
      </w:pPr>
      <w:r>
        <w:rPr>
          <w:rFonts w:ascii="Times New Roman" w:hAnsi="Times New Roman" w:eastAsia="Times New Roman" w:cs="Times New Roman"/>
          <w:b/>
          <w:i w:val="0"/>
          <w:color w:val="000000"/>
          <w:sz w:val="24"/>
        </w:rPr>
        <w:t>Fixed k and gap</w:t>
      </w:r>
      <w:r>
        <w:rPr>
          <w:rFonts w:ascii="Times New Roman" w:hAnsi="Times New Roman" w:eastAsia="Times New Roman" w:cs="Times New Roman"/>
          <w:b w:val="0"/>
          <w:i w:val="0"/>
          <w:color w:val="000000"/>
          <w:sz w:val="24"/>
        </w:rPr>
        <w:t>: The current implementation uses a static k and gap for the entire dataset. On the 130-seed INDELible benchmark (Table 4) the multi-k ensemble (nRF=0.1940) is statistically indistinguishable from the best single contiguous configuration (k=7, 0.1938; p=0.669) and significantly better than the default spaced+NNI pipeline (0.1990; p=0.0077, d=0.246) and than k=5 (0.2078; p=2.68×10⁻¹²) and k=9 (0.2005; p=9.04×10⁻⁸), so at L=500 bp it is the most accurate configuration we tested while requiring no manual k selection. That the ensemble never beats the best single k by a significant margin indicates limited complementary signal beyond what a well-chosen single k captures at this sequence length — the gain over the default is real but small (0.0050 nRF). Because the ranking of k values is likely to shift with sequence length, divergence and taxon count, we do not treat k=7 as a universal optimum. Further optimization, such as weighted fusion, inclusion of spaced k-mers in the ensemble, or per-cluster parameter selection, may yield additional gains. The optimal set of k values and fusion weights has not been systematically explored.</w:t>
      </w:r>
    </w:p>
    <w:p>
      <w:pPr>
        <w:spacing w:after="120" w:line="360" w:lineRule="auto"/>
      </w:pPr>
      <w:r>
        <w:rPr>
          <w:rFonts w:ascii="Times New Roman" w:hAnsi="Times New Roman" w:eastAsia="Times New Roman" w:cs="Times New Roman"/>
          <w:b/>
          <w:i w:val="0"/>
          <w:color w:val="000000"/>
          <w:sz w:val="24"/>
        </w:rPr>
        <w:t>Distance metric exploration</w:t>
      </w:r>
      <w:r>
        <w:rPr>
          <w:rFonts w:ascii="Times New Roman" w:hAnsi="Times New Roman" w:eastAsia="Times New Roman" w:cs="Times New Roman"/>
          <w:b w:val="0"/>
          <w:i w:val="0"/>
          <w:color w:val="000000"/>
          <w:sz w:val="24"/>
        </w:rPr>
        <w:t>: Cosine distance and Jensen-Shannon divergence represent points in a larger space of possible metrics on k-mer frequency vectors. Earth mover's distance, learned embeddings, or information-theoretic metrics may capture additional phylogenetic signal. Our own cosine-vs-JSD comparison was inconclusive (Methods), and on the 130-seed benchmark the choice of k (k=7 0.1938 vs k=5 0.2078) moved accuracy more than any metric or refinement choice we tested, so we regard the exploration of k and fusion strategies as at least as promising as the exploration of metrics.</w:t>
      </w:r>
    </w:p>
    <w:p>
      <w:pPr>
        <w:spacing w:after="120" w:line="360" w:lineRule="auto"/>
      </w:pPr>
      <w:r>
        <w:rPr>
          <w:rFonts w:ascii="Times New Roman" w:hAnsi="Times New Roman" w:eastAsia="Times New Roman" w:cs="Times New Roman"/>
          <w:b/>
          <w:i w:val="0"/>
          <w:color w:val="000000"/>
          <w:sz w:val="24"/>
        </w:rPr>
        <w:t>L3 protocol and portability</w:t>
      </w:r>
      <w:r>
        <w:rPr>
          <w:rFonts w:ascii="Times New Roman" w:hAnsi="Times New Roman" w:eastAsia="Times New Roman" w:cs="Times New Roman"/>
          <w:b w:val="0"/>
          <w:i w:val="0"/>
          <w:color w:val="000000"/>
          <w:sz w:val="24"/>
        </w:rPr>
        <w:t>: The definitive L3 (MAFFT+FastTree2) comparison is now based on a complete 30-seed run executed on Linux (WSL2 Ubuntu-24.04) with an explicitly nucleotide FastTree2 protocol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xml:space="preserve">); an earlier 5-seed Windows run was affected both by MAFFT instability (empty alignments on 25/30 seeds) and by an inadvertently omitted </w:t>
      </w:r>
      <w:r>
        <w:rPr>
          <w:rFonts w:ascii="Consolas" w:hAnsi="Consolas" w:eastAsia="Consolas" w:cs="Consolas"/>
          <w:b w:val="0"/>
          <w:i w:val="0"/>
          <w:color w:val="000000"/>
          <w:sz w:val="24"/>
        </w:rPr>
        <w:t>-nt</w:t>
      </w:r>
      <w:r>
        <w:rPr>
          <w:rFonts w:ascii="Times New Roman" w:hAnsi="Times New Roman" w:eastAsia="Times New Roman" w:cs="Times New Roman"/>
          <w:b w:val="0"/>
          <w:i w:val="0"/>
          <w:color w:val="000000"/>
          <w:sz w:val="24"/>
        </w:rPr>
        <w:t xml:space="preserve"> flag (protein-mode distance settings on DNA input), and is superseded (Supplementary Note S8). Both L1 (nRF=0.137) and L3 (nRF=0.124) remain distant from the true tree (~12–15% bipartition error), with L3 significantly better; the protocol is less severe than the one underlying the superseded figures (~58–60%), which we withdraw as defective (see Table 5). The Linux requirement itself is a practical portability constraint: native-Windows MAFFT proved unreliable at this scale.</w:t>
      </w:r>
    </w:p>
    <w:p>
      <w:pPr>
        <w:spacing w:after="120" w:line="360" w:lineRule="auto"/>
      </w:pPr>
      <w:r>
        <w:rPr>
          <w:rFonts w:ascii="Times New Roman" w:hAnsi="Times New Roman" w:eastAsia="Times New Roman" w:cs="Times New Roman"/>
          <w:b/>
          <w:i w:val="0"/>
          <w:color w:val="000000"/>
          <w:sz w:val="24"/>
        </w:rPr>
        <w:t>Mash multi-seed benchmark</w:t>
      </w:r>
      <w:r>
        <w:rPr>
          <w:rFonts w:ascii="Times New Roman" w:hAnsi="Times New Roman" w:eastAsia="Times New Roman" w:cs="Times New Roman"/>
          <w:b w:val="0"/>
          <w:i w:val="0"/>
          <w:color w:val="000000"/>
          <w:sz w:val="24"/>
        </w:rPr>
        <w:t xml:space="preserve">: The Mash benchmark (Table 2) is based on 30 seeds (seeds 100–129, this work, WSL2 Ubuntu 24.04, Mash v2.3) at a single indel rate (0.02) and a single sequence length (L=500 bp); a 130-seed sensitivity run over the full seed range gives the same picture. On the replacement INDELible data Mash degrades modestly but significantly under indels (0.3486 → 0.4034, per-seed ratio 1.164 ± 0.244, p=3.0×10⁻³) while Fusang's k-mer cosine improves (0.2364 → 0.1926, ratio 0.827 ± 0.144, p=6.2×10⁻⁶). The earlier figures (Mash 0.762 ± 0.036, 1.93× degradation; k-mer cosine degrading comparably at 1.97×) came from the defective hand-written coalescent simulator and from Mash runs that omitted the required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flag, and are withdrawn (see the Table 2 provenance note). Because only one indel rate and one sequence length were tested, we cannot yet locate the sequence length or indel density at which MinHash begins to collapse; a scan across indel rates 0.005–0.05 remains future work.</w:t>
      </w:r>
    </w:p>
    <w:p>
      <w:pPr>
        <w:spacing w:after="120" w:line="360" w:lineRule="auto"/>
      </w:pPr>
      <w:r>
        <w:rPr>
          <w:rFonts w:ascii="Times New Roman" w:hAnsi="Times New Roman" w:eastAsia="Times New Roman" w:cs="Times New Roman"/>
          <w:b/>
          <w:i w:val="0"/>
          <w:color w:val="000000"/>
          <w:sz w:val="24"/>
        </w:rPr>
        <w:t>Sequence length</w:t>
      </w:r>
      <w:r>
        <w:rPr>
          <w:rFonts w:ascii="Times New Roman" w:hAnsi="Times New Roman" w:eastAsia="Times New Roman" w:cs="Times New Roman"/>
          <w:b w:val="0"/>
          <w:i w:val="0"/>
          <w:color w:val="000000"/>
          <w:sz w:val="24"/>
        </w:rPr>
        <w:t>: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111–576 amino acids; Table 10) confirms that Fusang's performance transfers across a range of sequence lengths, but systematic evaluation at extreme lengths (L=100–200 bp and L&gt;2000 bp) remains future work.</w:t>
      </w:r>
    </w:p>
    <w:p>
      <w:pPr>
        <w:spacing w:after="120" w:line="360" w:lineRule="auto"/>
      </w:pPr>
      <w:r>
        <w:rPr>
          <w:rFonts w:ascii="Times New Roman" w:hAnsi="Times New Roman" w:eastAsia="Times New Roman" w:cs="Times New Roman"/>
          <w:b/>
          <w:i w:val="0"/>
          <w:color w:val="000000"/>
          <w:sz w:val="24"/>
        </w:rPr>
        <w:t>Boundary classifier data independence</w:t>
      </w:r>
      <w:r>
        <w:rPr>
          <w:rFonts w:ascii="Times New Roman" w:hAnsi="Times New Roman" w:eastAsia="Times New Roman" w:cs="Times New Roman"/>
          <w:b w:val="0"/>
          <w:i w:val="0"/>
          <w:color w:val="000000"/>
          <w:sz w:val="24"/>
        </w:rPr>
        <w:t>: The 150 E2E test scenarios were generated using simulation parameters distinct from the training data, but all scenarios used the same simulation engine (INDELible). The 100% accuracy, while statistically supported (Wilson CI [0.975, 1.0] for n=150), may overestimate real-world performance where data distributions differ from simulation. Internal cross-validation on the training set (n=8,116, 5-fold CV, ROC-AUC=0.831 ± 0.015)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 A systematic feature ablation study quantifying each feature group's causal contribution to classification accuracy remains future work.</w:t>
      </w:r>
    </w:p>
    <w:p>
      <w:pPr>
        <w:spacing w:after="120" w:line="360" w:lineRule="auto"/>
      </w:pPr>
      <w:r>
        <w:rPr>
          <w:rFonts w:ascii="Times New Roman" w:hAnsi="Times New Roman" w:eastAsia="Times New Roman" w:cs="Times New Roman"/>
          <w:b/>
          <w:i w:val="0"/>
          <w:color w:val="000000"/>
          <w:sz w:val="24"/>
        </w:rPr>
        <w:t>Current status of n=500/n=1000 benchmarks</w:t>
      </w:r>
      <w:r>
        <w:rPr>
          <w:rFonts w:ascii="Times New Roman" w:hAnsi="Times New Roman" w:eastAsia="Times New Roman" w:cs="Times New Roman"/>
          <w:b w:val="0"/>
          <w:i w:val="0"/>
          <w:color w:val="000000"/>
          <w:sz w:val="24"/>
        </w:rPr>
        <w:t>: Multi-seed benchmarking at n=500 and n=1000 (30 seeds each) has been completed for both clean and indel-rich data, all TRUE-relative. At n=1000 indel, FastTree2 is significantly better (Fusang 0.226 ± 0.015 vs 0.212 ± 0.014, p=1.54×10⁻⁴, paired d=0.98), reversing the marginal n=200 indel advantage; at n=500 indel the two are indistinguishable (0.208 ± 0.019 vs 0.209 ± 0.017, p=0.294). A multiple-comparison correction across the six ground-truth datasets confirms that on clean data FastTree2 significantly outperforms Fusang at every scale (n=200: p=2.07×10⁻¹⁴; n=500: p=1.73×10⁻⁶; n=1000: p=1.73×10⁻⁶; all survive Bonferroni α≈0.008), while on indel-rich data FastTree2 is significantly better at n=1000 (p=1.54×10⁻⁴), the two are tied at n=500 and n=500-indel, and Fusang is numerically better only at n=200 (p=0.0507, which is not significant at α=0.05 and does not survive correction) (Supplementary Table S8).</w:t>
      </w:r>
    </w:p>
    <w:p>
      <w:pPr>
        <w:spacing w:after="120" w:line="360" w:lineRule="auto"/>
      </w:pPr>
      <w:r>
        <w:rPr>
          <w:rFonts w:ascii="Times New Roman" w:hAnsi="Times New Roman" w:eastAsia="Times New Roman" w:cs="Times New Roman"/>
          <w:b/>
          <w:i w:val="0"/>
          <w:color w:val="000000"/>
          <w:sz w:val="24"/>
        </w:rPr>
        <w:t>Comparison with classical alignment-free methods</w:t>
      </w:r>
      <w:r>
        <w:rPr>
          <w:rFonts w:ascii="Times New Roman" w:hAnsi="Times New Roman" w:eastAsia="Times New Roman" w:cs="Times New Roman"/>
          <w:b w:val="0"/>
          <w:i w:val="0"/>
          <w:color w:val="000000"/>
          <w:sz w:val="24"/>
        </w:rPr>
        <w:t>: We have completed systematic head-to-head comparison with four classical alignment-free methods — andi [25], Co-phylog [26], kmacs [12], and Skmer [29] — across simulated DNA (Table 7, 130 INDELible seeds, TRUE-relative) and real protein data (Table 10, AFproject SwissTree, 11 gene families). K-mer frequency methods consistently outperform the alternatives: Co-phylog's context-matching approach fails under indels (DNA TRUE-relative nRF=0.8812 ± 0.0353, 4.4× worse than Fusang's 0.1990, 0/130 wins, paired d=−15.40) and on protein data (best config halfctx=11 nRF=0.727 vs Fusang nRF=0.329, d=−3.47, p=0.0010; its default halfctx=5 nRF=0.786, d=−2.28, p=0.0020); kmacs (best of k∈{3,5,10}) is significantly less accurate under indels (TRUE-relative nRF=0.3656 ± 0.0389 vs Fusang 0.1990, 0/130 wins, p=4.34×10⁻²³, paired d=−4.84; k=5 0.4125 and k=10 0.4517 are worse still); while andi (suffix-array anchors) and Skmer (genome-skim coverage model; completes on 500-bp inputs but the coverage correction is inoperative — degenerate depth-1 histograms, 45% of distances capped at the sentinel value, nRF≈0.32 on the probe seed) are structurally inapplicable to gene-length sequences by design. This comparison also produced a negative result for our own default: on the same 130 seeds contiguous k=7 (0.1938) and the multi-k ensemble (0.1940) are significantly more accurate than the default spaced+NNI pipeline (0.1990; p=3.9×10⁻³ and p=7.7×10⁻³). We note that Co-phylog was tested at k=19 with default half-context on DNA; a systematic scan across parameter space may reveal configurations where Co-phylog performs better, though its fundamental reliance on context-matching makes it intrinsically vulnerable to indels. These results position k-mer frequency vectors with cosine distance as among the most robust alignment-free approaches for gene-length phylogenetic inference across sequence types. Two method families remain untested — FFP [31], which pioneered feature frequency profiles for whole-genome comparison, and the broader spaced-word frequency family [13] (both were outside the scope of the current benchmark harness); systematic comparison under indel-rich conditions represents future work.</w:t>
      </w:r>
    </w:p>
    <w:p>
      <w:pPr>
        <w:spacing w:after="120" w:line="360" w:lineRule="auto"/>
      </w:pPr>
      <w:r>
        <w:rPr>
          <w:rFonts w:ascii="Times New Roman" w:hAnsi="Times New Roman" w:eastAsia="Times New Roman" w:cs="Times New Roman"/>
          <w:b w:val="0"/>
          <w:i w:val="0"/>
          <w:color w:val="000000"/>
          <w:sz w:val="24"/>
        </w:rPr>
        <w:t>Future work will explore: (1) optimized k-mer sets and fusion weights for the multi-k ensemble, potentially including spaced k-mers in the ensemble and length-aware k selection; (2) validation on real gene-length DNA families with documented indel-rich evolution and trusted trees, extending the real-data validation beyond protein families, mitochondrial genomes and loci (low-indel), and bacterial genomes;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p>
      <w:pPr>
        <w:keepNext/>
        <w:spacing w:before="200" w:after="120" w:line="276" w:lineRule="auto"/>
      </w:pPr>
      <w:r>
        <w:rPr>
          <w:rFonts w:ascii="Times New Roman" w:hAnsi="Times New Roman" w:eastAsia="Times New Roman" w:cs="Times New Roman"/>
          <w:b/>
          <w:i w:val="0"/>
          <w:color w:val="000000"/>
          <w:sz w:val="26"/>
        </w:rPr>
        <w:t>Practical recommendations</w:t>
      </w:r>
    </w:p>
    <w:p>
      <w:pPr>
        <w:spacing w:after="120" w:line="360" w:lineRule="auto"/>
      </w:pPr>
      <w:r>
        <w:rPr>
          <w:rFonts w:ascii="Times New Roman" w:hAnsi="Times New Roman" w:eastAsia="Times New Roman" w:cs="Times New Roman"/>
          <w:b w:val="0"/>
          <w:i w:val="0"/>
          <w:color w:val="000000"/>
          <w:sz w:val="24"/>
        </w:rPr>
        <w:t>For practitioners, our results suggest the following guidelines:</w:t>
      </w:r>
    </w:p>
    <w:p>
      <w:pPr>
        <w:pStyle w:val="ListBullet"/>
        <w:spacing w:after="60" w:line="360" w:lineRule="auto"/>
      </w:pPr>
      <w:r>
        <w:rPr>
          <w:rFonts w:ascii="Times New Roman" w:hAnsi="Times New Roman" w:eastAsia="Times New Roman" w:cs="Times New Roman"/>
          <w:b/>
          <w:i w:val="0"/>
          <w:color w:val="000000"/>
          <w:sz w:val="24"/>
        </w:rPr>
        <w:t>Small-to-medium datasets (n≤1000) with expected indel rates of ~0.02 or higher</w:t>
      </w:r>
      <w:r>
        <w:rPr>
          <w:rFonts w:ascii="Times New Roman" w:hAnsi="Times New Roman" w:eastAsia="Times New Roman" w:cs="Times New Roman"/>
          <w:b w:val="0"/>
          <w:i w:val="0"/>
          <w:color w:val="000000"/>
          <w:sz w:val="24"/>
        </w:rPr>
        <w:t xml:space="preserve">: Consider Fusang with the multi-k ensemble (via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as a first-pass analysis. The advantage is marginal at 0.02 (p=0.0507, not significant at α=0.05) and only clearly established at 0.05 (+10.9%, p=1.27×10⁻¹¹); at indel rates of 0.01 and below FastTree2 is significantly more accurate (Table 3), so Fusang should not be preferred there. On the 30-seed L=1000 bp benchmark the ensemble is significantly less accurate than MAFFT+FastTree2 (nRF=0.137±0.023 vs 0.124±0.026, paired Wilcoxon p=0.0024), while requiring no alignment step and no manual k selection; in our harness the two are comparable in wall-clock time at this scale (median 44.5 s vs 39.0 s per seed), so the advantage is workflow simplicity rather than raw speed at n=200. Both remain distant from the true tree (nRF≈0.12–0.15), so outputs should be treated as rapid first-pass topologies. The ensemble provides the best accuracy among the alignment-free configurations tested at L=1000 bp (Table 5) and — together with contiguous k=7 — at L=500 bp as well (Table 4: 0.1940 vs 0.1990 for the default pipeline, p=0.0077), while avoiding manual k selection.</w:t>
      </w:r>
    </w:p>
    <w:p>
      <w:pPr>
        <w:pStyle w:val="ListBullet"/>
        <w:spacing w:after="60" w:line="360" w:lineRule="auto"/>
      </w:pPr>
      <w:r>
        <w:rPr>
          <w:rFonts w:ascii="Times New Roman" w:hAnsi="Times New Roman" w:eastAsia="Times New Roman" w:cs="Times New Roman"/>
          <w:b/>
          <w:i w:val="0"/>
          <w:color w:val="000000"/>
          <w:sz w:val="24"/>
        </w:rPr>
        <w:t>Clean substitution-only data (no indels)</w:t>
      </w:r>
      <w:r>
        <w:rPr>
          <w:rFonts w:ascii="Times New Roman" w:hAnsi="Times New Roman" w:eastAsia="Times New Roman" w:cs="Times New Roman"/>
          <w:b w:val="0"/>
          <w:i w:val="0"/>
          <w:color w:val="000000"/>
          <w:sz w:val="24"/>
        </w:rPr>
        <w:t>: Mash (MinHash Jaccard, k=21) is far less accurate than k-mer cosine distances. The 30-seed benchmark (Table 2) shows Mash nRF=0.3486 ± 0.0351 vs Fusang nRF=0.2364 ± 0.0336 on clean data (Mash worse by +0.1122, paired Wilcoxon p=1.73×10⁻⁶, d=3.12, Fusang better in 30/30 seeds); the earlier figures (0.394 vs 0.376) came from the defective simulator and are withdrawn. K-mer cosine distances (Fusang) are the recommended alignment-free approach for both clean and indel-rich data, with the caveat that on clean data MSA+ML remains significantly more accurate than any alignment-free configuration we tested (Table 1).</w:t>
      </w:r>
    </w:p>
    <w:p>
      <w:pPr>
        <w:pStyle w:val="ListBullet"/>
        <w:spacing w:after="60" w:line="360" w:lineRule="auto"/>
      </w:pPr>
      <w:r>
        <w:rPr>
          <w:rFonts w:ascii="Times New Roman" w:hAnsi="Times New Roman" w:eastAsia="Times New Roman" w:cs="Times New Roman"/>
          <w:b/>
          <w:i w:val="0"/>
          <w:color w:val="000000"/>
          <w:sz w:val="24"/>
        </w:rPr>
        <w:t>Large datasets (n&gt;1000)</w:t>
      </w:r>
      <w:r>
        <w:rPr>
          <w:rFonts w:ascii="Times New Roman" w:hAnsi="Times New Roman" w:eastAsia="Times New Roman" w:cs="Times New Roman"/>
          <w:b w:val="0"/>
          <w:i w:val="0"/>
          <w:color w:val="000000"/>
          <w:sz w:val="24"/>
        </w:rPr>
        <w:t>: MSA-based methods remain preferred for accuracy; Fusang provides a valuable speed-accuracy trade-off for rapid exploratory analysis</w:t>
      </w:r>
    </w:p>
    <w:p>
      <w:pPr>
        <w:pStyle w:val="ListBullet"/>
        <w:spacing w:after="60" w:line="360" w:lineRule="auto"/>
      </w:pPr>
      <w:r>
        <w:rPr>
          <w:rFonts w:ascii="Times New Roman" w:hAnsi="Times New Roman" w:eastAsia="Times New Roman" w:cs="Times New Roman"/>
          <w:b/>
          <w:i w:val="0"/>
          <w:color w:val="000000"/>
          <w:sz w:val="24"/>
        </w:rPr>
        <w:t>Deep-divergence genome-scale data (organelle genomes, divergent gene families)</w:t>
      </w:r>
      <w:r>
        <w:rPr>
          <w:rFonts w:ascii="Times New Roman" w:hAnsi="Times New Roman" w:eastAsia="Times New Roman" w:cs="Times New Roman"/>
          <w:b w:val="0"/>
          <w:i w:val="0"/>
          <w:color w:val="000000"/>
          <w:sz w:val="24"/>
        </w:rPr>
        <w:t xml:space="preserve">: The multi-k cosine ensemble reaches the community-benchmark ceiling on real mitochondrial genomes (Table 12; nRF=0.045, matched by MSA+ML and all top published methods) without alignment and without k selection; the gene-scale default k=5 saturates at genome length — use the multi-k ensemble (via </w:t>
      </w:r>
      <w:r>
        <w:rPr>
          <w:rFonts w:ascii="Consolas" w:hAnsi="Consolas" w:eastAsia="Consolas" w:cs="Consolas"/>
          <w:b w:val="0"/>
          <w:i w:val="0"/>
          <w:color w:val="000000"/>
          <w:sz w:val="24"/>
        </w:rPr>
        <w:t>benchmark_multik_ensemble.py</w:t>
      </w:r>
      <w:r>
        <w:rPr>
          <w:rFonts w:ascii="Times New Roman" w:hAnsi="Times New Roman" w:eastAsia="Times New Roman" w:cs="Times New Roman"/>
          <w:b w:val="0"/>
          <w:i w:val="0"/>
          <w:color w:val="000000"/>
          <w:sz w:val="24"/>
        </w:rPr>
        <w:t>) instead of any single small k</w:t>
      </w:r>
    </w:p>
    <w:p>
      <w:pPr>
        <w:pStyle w:val="ListBullet"/>
        <w:spacing w:after="60" w:line="360" w:lineRule="auto"/>
      </w:pPr>
      <w:r>
        <w:rPr>
          <w:rFonts w:ascii="Times New Roman" w:hAnsi="Times New Roman" w:eastAsia="Times New Roman" w:cs="Times New Roman"/>
          <w:b/>
          <w:i w:val="0"/>
          <w:color w:val="000000"/>
          <w:sz w:val="24"/>
        </w:rPr>
        <w:t>Shallow strain-level divergence (recombination-dominated)</w:t>
      </w:r>
      <w:r>
        <w:rPr>
          <w:rFonts w:ascii="Times New Roman" w:hAnsi="Times New Roman" w:eastAsia="Times New Roman" w:cs="Times New Roman"/>
          <w:b w:val="0"/>
          <w:i w:val="0"/>
          <w:color w:val="000000"/>
          <w:sz w:val="24"/>
        </w:rPr>
        <w:t>: For within-species bacterial collections, anchor-based methods (andi, Co-phylog, kmacs) or Mash are better suited than k-mer cosine distances (Table 12)</w:t>
      </w:r>
    </w:p>
    <w:p>
      <w:pPr>
        <w:pStyle w:val="ListBullet"/>
        <w:spacing w:after="60" w:line="360" w:lineRule="auto"/>
      </w:pPr>
      <w:r>
        <w:rPr>
          <w:rFonts w:ascii="Times New Roman" w:hAnsi="Times New Roman" w:eastAsia="Times New Roman" w:cs="Times New Roman"/>
          <w:b/>
          <w:i w:val="0"/>
          <w:color w:val="000000"/>
          <w:sz w:val="24"/>
        </w:rPr>
        <w:t>Indel-rich data</w:t>
      </w:r>
      <w:r>
        <w:rPr>
          <w:rFonts w:ascii="Times New Roman" w:hAnsi="Times New Roman" w:eastAsia="Times New Roman" w:cs="Times New Roman"/>
          <w:b w:val="0"/>
          <w:i w:val="0"/>
          <w:color w:val="000000"/>
          <w:sz w:val="24"/>
        </w:rPr>
        <w:t xml:space="preserve">: Fusang's alignment-free distances are not degraded by alignment gap placement, and the indel advantage over MSA+ML is documented at n=200, L=500 bp — marginal at indel rate 0.02 (p=0.0507) and clear at 0.05 (+10.9%, p=1.27×10⁻¹¹). </w:t>
      </w:r>
      <w:r>
        <w:rPr>
          <w:rFonts w:ascii="Times New Roman" w:hAnsi="Times New Roman" w:eastAsia="Times New Roman" w:cs="Times New Roman"/>
          <w:b/>
          <w:i w:val="0"/>
          <w:color w:val="000000"/>
          <w:sz w:val="24"/>
        </w:rPr>
        <w:t>This advantage does not generalise across scale</w:t>
      </w:r>
      <w:r>
        <w:rPr>
          <w:rFonts w:ascii="Times New Roman" w:hAnsi="Times New Roman" w:eastAsia="Times New Roman" w:cs="Times New Roman"/>
          <w:b w:val="0"/>
          <w:i w:val="0"/>
          <w:color w:val="000000"/>
          <w:sz w:val="24"/>
        </w:rPr>
        <w:t>: at n=500 indel the two are indistinguishable (p=0.294) and at n=1000 indel FastTree2 is significantly more accurate (0.2117 vs 0.2263, p=1.54×10⁻⁴; Table 1). Independently of scale, MinHash-based approaches are far less accurate than k-mer cosine under indels (Mash 0.4034 ± 0.0844 vs Fusang 0.1926 ± 0.0272 at indel rate 0.02, 30 seeds; Fusang better in 30/30, d=2.61) and are the only family we tested that significantly degrades, so MinHash should be avoided for gene-length data; the earlier figure of nRF≈0.76 (~1.9× degradation) is withdrawn. At gene length (L≈500 bp), prefer contiguous k=7 or the multi-k ensemble (0.1938 / 0.1940) over the default spaced k=5 pipeline (0.1990) when maximum accuracy is wanted; the default remains a robust choice and is the configuration used throughout the timings and the large-scale benchmarks.</w:t>
      </w:r>
    </w:p>
    <w:p>
      <w:pPr>
        <w:pStyle w:val="ListBullet"/>
        <w:spacing w:after="60" w:line="360" w:lineRule="auto"/>
      </w:pPr>
      <w:r>
        <w:rPr>
          <w:rFonts w:ascii="Times New Roman" w:hAnsi="Times New Roman" w:eastAsia="Times New Roman" w:cs="Times New Roman"/>
          <w:b/>
          <w:i w:val="0"/>
          <w:color w:val="000000"/>
          <w:sz w:val="24"/>
        </w:rPr>
        <w:t>Computational constraints</w:t>
      </w:r>
      <w:r>
        <w:rPr>
          <w:rFonts w:ascii="Times New Roman" w:hAnsi="Times New Roman" w:eastAsia="Times New Roman" w:cs="Times New Roman"/>
          <w:b w:val="0"/>
          <w:i w:val="0"/>
          <w:color w:val="000000"/>
          <w:sz w:val="24"/>
        </w:rPr>
        <w:t>: Fusang requires no alignment step and runs in seconds to minutes on a single CPU core, making it suitable for rapid iteration during exploratory analysis</w:t>
      </w:r>
    </w:p>
    <w:p>
      <w:pPr>
        <w:keepNext/>
        <w:spacing w:before="240" w:after="120" w:line="276" w:lineRule="auto"/>
      </w:pPr>
      <w:r>
        <w:rPr>
          <w:rFonts w:ascii="Times New Roman" w:hAnsi="Times New Roman" w:eastAsia="Times New Roman" w:cs="Times New Roman"/>
          <w:b/>
          <w:i w:val="0"/>
          <w:color w:val="000000"/>
          <w:sz w:val="28"/>
        </w:rPr>
        <w:t>SUPPLEMENTARY MATERIAL</w:t>
      </w:r>
    </w:p>
    <w:p>
      <w:pPr>
        <w:spacing w:after="120" w:line="360" w:lineRule="auto"/>
      </w:pPr>
      <w:r>
        <w:rPr>
          <w:rFonts w:ascii="Times New Roman" w:hAnsi="Times New Roman" w:eastAsia="Times New Roman" w:cs="Times New Roman"/>
          <w:b w:val="0"/>
          <w:i w:val="0"/>
          <w:color w:val="000000"/>
          <w:sz w:val="24"/>
        </w:rPr>
        <w:t>Supplementary Data are available at NAR Online.</w:t>
      </w:r>
    </w:p>
    <w:p>
      <w:pPr>
        <w:spacing w:after="120" w:line="360" w:lineRule="auto"/>
      </w:pPr>
      <w:r>
        <w:rPr>
          <w:rFonts w:ascii="Times New Roman" w:hAnsi="Times New Roman" w:eastAsia="Times New Roman" w:cs="Times New Roman"/>
          <w:b/>
          <w:i w:val="0"/>
          <w:color w:val="000000"/>
          <w:sz w:val="24"/>
        </w:rPr>
        <w:t>Supplementary Figure S1.</w:t>
      </w:r>
      <w:r>
        <w:rPr>
          <w:rFonts w:ascii="Times New Roman" w:hAnsi="Times New Roman" w:eastAsia="Times New Roman" w:cs="Times New Roman"/>
          <w:b w:val="0"/>
          <w:i w:val="0"/>
          <w:color w:val="000000"/>
          <w:sz w:val="24"/>
        </w:rPr>
        <w:t xml:space="preserve"> Full k-mer parameter grid search. (A–E) nRF heatmaps (k=4–8 × gap 0–3) at n=50, 100, 200, 500, and 1000; the best configuration per scale is marked with an asterisk. (F) nRF vs dataset size for the default k=5,gap2 and the best per-n configuration.</w:t>
      </w:r>
    </w:p>
    <w:p>
      <w:pPr>
        <w:spacing w:after="120" w:line="360" w:lineRule="auto"/>
      </w:pPr>
      <w:r>
        <w:rPr>
          <w:rFonts w:ascii="Times New Roman" w:hAnsi="Times New Roman" w:eastAsia="Times New Roman" w:cs="Times New Roman"/>
          <w:b/>
          <w:i w:val="0"/>
          <w:color w:val="000000"/>
          <w:sz w:val="24"/>
        </w:rPr>
        <w:t>Supplementary Figure S2.</w:t>
      </w:r>
      <w:r>
        <w:rPr>
          <w:rFonts w:ascii="Times New Roman" w:hAnsi="Times New Roman" w:eastAsia="Times New Roman" w:cs="Times New Roman"/>
          <w:b w:val="0"/>
          <w:i w:val="0"/>
          <w:color w:val="000000"/>
          <w:sz w:val="24"/>
        </w:rPr>
        <w:t xml:space="preserve"> Dimensionality vs accuracy. (A–E) nRF vs feature vector dimension (4^k) for each gap pattern at n=50–1000, showing 1024-dim (k=5,gap2) outperforming 65536-dim (k=8, contiguous). (F) nRF vs dataset size at k=5 for each gap pattern.</w:t>
      </w:r>
    </w:p>
    <w:p>
      <w:pPr>
        <w:spacing w:after="120" w:line="360" w:lineRule="auto"/>
      </w:pPr>
      <w:r>
        <w:rPr>
          <w:rFonts w:ascii="Times New Roman" w:hAnsi="Times New Roman" w:eastAsia="Times New Roman" w:cs="Times New Roman"/>
          <w:b/>
          <w:i w:val="0"/>
          <w:color w:val="000000"/>
          <w:sz w:val="24"/>
        </w:rPr>
        <w:t>Supplementary Figure S3.</w:t>
      </w:r>
      <w:r>
        <w:rPr>
          <w:rFonts w:ascii="Times New Roman" w:hAnsi="Times New Roman" w:eastAsia="Times New Roman" w:cs="Times New Roman"/>
          <w:b w:val="0"/>
          <w:i w:val="0"/>
          <w:color w:val="000000"/>
          <w:sz w:val="24"/>
        </w:rPr>
        <w:t xml:space="preserve"> DCM degradation trace and analysis. (A) Stage-by-stage nRF trace on a single illustrative seed (n=200, seed=42, clean), standard root-independent unrooted RF: simplified pipeline 0.000, TF-IDF 0.030, DCM+NJ recovery 0.000, DCM+FastME 0.010, full DCM+EPA 0.457. (B) Simplified pipeline multi-seed validation (10 seeds, 0.014±0.003) vs full DCM; this 10-seed figure is from the superseded root-dependent nRF implementation and is retained for shape only, not as a validated accuracy value. (C) Schematic of the DCM pipeline with EPA grafting identified as the primary error source. (D) nRF stability across scales including the DCM regime (clean coalescent, 5 seeds per scale).</w:t>
      </w:r>
    </w:p>
    <w:p>
      <w:pPr>
        <w:spacing w:after="120" w:line="360" w:lineRule="auto"/>
      </w:pPr>
      <w:r>
        <w:rPr>
          <w:rFonts w:ascii="Times New Roman" w:hAnsi="Times New Roman" w:eastAsia="Times New Roman" w:cs="Times New Roman"/>
          <w:b/>
          <w:i w:val="0"/>
          <w:color w:val="000000"/>
          <w:sz w:val="24"/>
        </w:rPr>
        <w:t>Supplementary Figure S4.</w:t>
      </w:r>
      <w:r>
        <w:rPr>
          <w:rFonts w:ascii="Times New Roman" w:hAnsi="Times New Roman" w:eastAsia="Times New Roman" w:cs="Times New Roman"/>
          <w:b w:val="0"/>
          <w:i w:val="0"/>
          <w:color w:val="000000"/>
          <w:sz w:val="24"/>
        </w:rPr>
        <w:t xml:space="preserve"> 130-seed indel benchmark: distributions and outlier analysis. (A) nRF violins for all 130 paired seeds. (B) Per-seed Fusang vs FastTree2 scatter with the pre-specified nRF&gt;0.3 exclusion rule (no seed exceeded it in this INDELible dataset). (C) Sorted paired differences for all 130 seeds. (D) Histogram of paired differences (130 seeds; Wilcoxon p=0.0507 on integer RF counts with the zero-split convention, paired Cohen's d=−0.20, Fusang − FastTree2 orientation: negative = Fusang better; Fusang better in 71/130 seeds, FastTree2 better in 53, 6 ties; bootstrap 95% CI for d = [−0.37, −0.03]).</w:t>
      </w:r>
    </w:p>
    <w:p>
      <w:pPr>
        <w:spacing w:after="120" w:line="360" w:lineRule="auto"/>
      </w:pPr>
      <w:r>
        <w:rPr>
          <w:rFonts w:ascii="Times New Roman" w:hAnsi="Times New Roman" w:eastAsia="Times New Roman" w:cs="Times New Roman"/>
          <w:b/>
          <w:i w:val="0"/>
          <w:color w:val="000000"/>
          <w:sz w:val="24"/>
        </w:rPr>
        <w:t>Supplementary Figure S5.</w:t>
      </w:r>
      <w:r>
        <w:rPr>
          <w:rFonts w:ascii="Times New Roman" w:hAnsi="Times New Roman" w:eastAsia="Times New Roman" w:cs="Times New Roman"/>
          <w:b w:val="0"/>
          <w:i w:val="0"/>
          <w:color w:val="000000"/>
          <w:sz w:val="24"/>
        </w:rPr>
        <w:t xml:space="preserve"> Real 16S rRNA validation (73 taxa, corrected NCBI Taxonomy annotation). (A) Taxonomic-rank signal (same-rank distance reduction) for the Fusang and rebuilt FastTree2 trees, per rank (Table 9 values). (B) Fusang tree (k=5,gap2) with phylum-coloured tips. (C) Rebuilt FastTree2 tree (MAFFT 7.526 --localpair + FastTree2 -nt -gtr) with identical colouring for direct comparison. (D) Recovery against NCBI taxonomy: monophyletic-group recovery (Fusang 3/7 phyla, 10/14 orders; FastTree2 6/7 phyla, 11/14 orders) and nRF vs a taxonomy-derived reference tree (0.414 vs 0.343, RF/(2n−6); 0.547 vs 0.453, RF/(s₁+s₂)).</w:t>
      </w:r>
    </w:p>
    <w:p>
      <w:pPr>
        <w:spacing w:after="120" w:line="360" w:lineRule="auto"/>
      </w:pPr>
      <w:r>
        <w:rPr>
          <w:rFonts w:ascii="Times New Roman" w:hAnsi="Times New Roman" w:eastAsia="Times New Roman" w:cs="Times New Roman"/>
          <w:b/>
          <w:i w:val="0"/>
          <w:color w:val="000000"/>
          <w:sz w:val="24"/>
        </w:rPr>
        <w:t>Supplementary Figure S6.</w:t>
      </w:r>
      <w:r>
        <w:rPr>
          <w:rFonts w:ascii="Times New Roman" w:hAnsi="Times New Roman" w:eastAsia="Times New Roman" w:cs="Times New Roman"/>
          <w:b w:val="0"/>
          <w:i w:val="0"/>
          <w:color w:val="000000"/>
          <w:sz w:val="24"/>
        </w:rPr>
        <w:t xml:space="preserve"> Effect size analysis across benchmarks. (A) Cohen's d with 95% bootstrap CI for Fusang vs FastTree2 (indel n=200, 130 valid seeds; clean n=500 and n=1000, 30 seeds; orientation: FT2 − Fusang, positive = Fusang better). (B) Paired Cohen's d against alignment-free competitors and ablations (Co-phylog, kmacs, IQ-TREE2, SwissTree, multi-k L1 vs L0). (C) BAliBASE v3.0 per-family nRF vs FastTree2 (20 protein families; median 0.982, mean 0.826; only 3/20 below 0.5), showing near-zero topological agreement on short protein alignments. (D) Bootstrap distribution of the 130-seed paired mean difference (10,000 resamples).</w:t>
      </w:r>
    </w:p>
    <w:p>
      <w:pPr>
        <w:spacing w:after="120" w:line="360" w:lineRule="auto"/>
      </w:pPr>
      <w:r>
        <w:rPr>
          <w:rFonts w:ascii="Times New Roman" w:hAnsi="Times New Roman" w:eastAsia="Times New Roman" w:cs="Times New Roman"/>
          <w:b/>
          <w:i w:val="0"/>
          <w:color w:val="000000"/>
          <w:sz w:val="24"/>
        </w:rPr>
        <w:t>Supplementary Figure S7.</w:t>
      </w:r>
      <w:r>
        <w:rPr>
          <w:rFonts w:ascii="Times New Roman" w:hAnsi="Times New Roman" w:eastAsia="Times New Roman" w:cs="Times New Roman"/>
          <w:b w:val="0"/>
          <w:i w:val="0"/>
          <w:color w:val="000000"/>
          <w:sz w:val="24"/>
        </w:rPr>
        <w:t xml:space="preserve"> Multi-k distance ensemble: per-seed analysis (130-seed INDELible benchmark, n=200, indel=0.02, TRUE-relative, standard root-independent unrooted RF). (A) Per-seed scatter of the NJ-only spaced k=5,gap2 configuration vs the ensemble (k=5,7,9 average). (B) Configuration comparison across single-k k=5/7/9, ensemble, spaced NJ-only, and the full pipeline (mean ± SD: k=7 0.1938 ± 0.0295, ensemble 0.1940 ± 0.0296, full pipeline 0.1990 ± 0.0296, spaced NJ-only 0.2003 ± 0.0296, k=9 0.2005 ± 0.0299, k=5 0.2078 ± 0.0314). (C) Sorted per-seed differences: ensemble vs contiguous k=5 (ensemble better in 93/130, k=5 better in 24, 13 ties; p=2.68×10⁻¹², paired d=0.755). (D) Sorted per-seed differences: ensemble vs full pipeline (ensemble better in 72/130, pipeline better in 46, 12 ties; p=7.7×10⁻³, paired d=0.246) — under the standard RF the ensemble now </w:t>
      </w:r>
      <w:r>
        <w:rPr>
          <w:rFonts w:ascii="Times New Roman" w:hAnsi="Times New Roman" w:eastAsia="Times New Roman" w:cs="Times New Roman"/>
          <w:b w:val="0"/>
          <w:i/>
          <w:color w:val="000000"/>
          <w:sz w:val="24"/>
        </w:rPr>
        <w:t>does</w:t>
      </w:r>
      <w:r>
        <w:rPr>
          <w:rFonts w:ascii="Times New Roman" w:hAnsi="Times New Roman" w:eastAsia="Times New Roman" w:cs="Times New Roman"/>
          <w:b w:val="0"/>
          <w:i w:val="0"/>
          <w:color w:val="000000"/>
          <w:sz w:val="24"/>
        </w:rPr>
        <w:t xml:space="preserve"> exceed the default pipeline at L=500 bp, reversing the ordering shown in earlier versions of this figure.</w:t>
      </w:r>
    </w:p>
    <w:p>
      <w:pPr>
        <w:spacing w:after="120" w:line="360" w:lineRule="auto"/>
      </w:pPr>
      <w:r>
        <w:rPr>
          <w:rFonts w:ascii="Times New Roman" w:hAnsi="Times New Roman" w:eastAsia="Times New Roman" w:cs="Times New Roman"/>
          <w:b/>
          <w:i w:val="0"/>
          <w:color w:val="000000"/>
          <w:sz w:val="24"/>
        </w:rPr>
        <w:t>Supplementary Table S1.</w:t>
      </w:r>
      <w:r>
        <w:rPr>
          <w:rFonts w:ascii="Times New Roman" w:hAnsi="Times New Roman" w:eastAsia="Times New Roman" w:cs="Times New Roman"/>
          <w:b w:val="0"/>
          <w:i w:val="0"/>
          <w:color w:val="000000"/>
          <w:sz w:val="24"/>
        </w:rPr>
        <w:t xml:space="preserve"> NCBI GenBank accessions for 74 16S rRNA sequences.</w:t>
      </w:r>
    </w:p>
    <w:p>
      <w:pPr>
        <w:spacing w:after="120" w:line="360" w:lineRule="auto"/>
      </w:pPr>
      <w:r>
        <w:rPr>
          <w:rFonts w:ascii="Times New Roman" w:hAnsi="Times New Roman" w:eastAsia="Times New Roman" w:cs="Times New Roman"/>
          <w:b/>
          <w:i w:val="0"/>
          <w:color w:val="000000"/>
          <w:sz w:val="24"/>
        </w:rPr>
        <w:t>Supplementary Table S2.</w:t>
      </w:r>
      <w:r>
        <w:rPr>
          <w:rFonts w:ascii="Times New Roman" w:hAnsi="Times New Roman" w:eastAsia="Times New Roman" w:cs="Times New Roman"/>
          <w:b w:val="0"/>
          <w:i w:val="0"/>
          <w:color w:val="000000"/>
          <w:sz w:val="24"/>
        </w:rPr>
        <w:t xml:space="preserve"> Complete k/gap parameter scan on indel data (indel rate=0.02): nRF for k=4–8 × gap=none/gap1–gap4 at n=100/200.</w:t>
      </w:r>
    </w:p>
    <w:p>
      <w:pPr>
        <w:spacing w:after="120" w:line="360" w:lineRule="auto"/>
      </w:pPr>
      <w:r>
        <w:rPr>
          <w:rFonts w:ascii="Times New Roman" w:hAnsi="Times New Roman" w:eastAsia="Times New Roman" w:cs="Times New Roman"/>
          <w:b/>
          <w:i w:val="0"/>
          <w:color w:val="000000"/>
          <w:sz w:val="24"/>
        </w:rPr>
        <w:t>Supplementary Table S3.</w:t>
      </w:r>
      <w:r>
        <w:rPr>
          <w:rFonts w:ascii="Times New Roman" w:hAnsi="Times New Roman" w:eastAsia="Times New Roman" w:cs="Times New Roman"/>
          <w:b w:val="0"/>
          <w:i w:val="0"/>
          <w:color w:val="000000"/>
          <w:sz w:val="24"/>
        </w:rPr>
        <w:t xml:space="preserve"> DCM degradation step-by-step: nRF at each pipeline stage (n=200, seed=42, indel rate=0.02), standard root-independent unrooted RF. The step-5 value is the </w:t>
      </w:r>
      <w:r>
        <w:rPr>
          <w:rFonts w:ascii="Consolas" w:hAnsi="Consolas" w:eastAsia="Consolas" w:cs="Consolas"/>
          <w:b w:val="0"/>
          <w:i w:val="0"/>
          <w:color w:val="000000"/>
          <w:sz w:val="24"/>
        </w:rPr>
        <w:t>max_group_size=10</w:t>
      </w:r>
      <w:r>
        <w:rPr>
          <w:rFonts w:ascii="Times New Roman" w:hAnsi="Times New Roman" w:eastAsia="Times New Roman" w:cs="Times New Roman"/>
          <w:b w:val="0"/>
          <w:i w:val="0"/>
          <w:color w:val="000000"/>
          <w:sz w:val="24"/>
        </w:rPr>
        <w:t xml:space="preserve"> DCM+EPA configuration; the full DCM sweep (max_group_size=10–150, NJ subtrees, 11 configurations) ranges 0.096–0.523 (mean 0.233 ± 0.126), so the conclusion that EPA grafting dominates the error does not depend on that choice. Per-configuration values: </w:t>
      </w:r>
      <w:r>
        <w:rPr>
          <w:rFonts w:ascii="Consolas" w:hAnsi="Consolas" w:eastAsia="Consolas" w:cs="Consolas"/>
          <w:b w:val="0"/>
          <w:i w:val="0"/>
          <w:color w:val="000000"/>
          <w:sz w:val="24"/>
        </w:rPr>
        <w:t>repro_ablations/ablation_dcm_seed42_indel_nrfstandard.json</w:t>
      </w:r>
      <w:r>
        <w:rPr>
          <w:rFonts w:ascii="Times New Roman" w:hAnsi="Times New Roman" w:eastAsia="Times New Roman" w:cs="Times New Roman"/>
          <w:b w:val="0"/>
          <w:i w:val="0"/>
          <w:color w:val="000000"/>
          <w:sz w:val="24"/>
        </w:rPr>
        <w:t>. The stage values printed in earlier versions are withdrawn (see Results).</w:t>
      </w:r>
    </w:p>
    <w:p>
      <w:pPr>
        <w:spacing w:after="120" w:line="360" w:lineRule="auto"/>
      </w:pPr>
      <w:r>
        <w:rPr>
          <w:rFonts w:ascii="Times New Roman" w:hAnsi="Times New Roman" w:eastAsia="Times New Roman" w:cs="Times New Roman"/>
          <w:b/>
          <w:i w:val="0"/>
          <w:color w:val="000000"/>
          <w:sz w:val="24"/>
        </w:rPr>
        <w:t>Supplementary Table S4.</w:t>
      </w:r>
      <w:r>
        <w:rPr>
          <w:rFonts w:ascii="Times New Roman" w:hAnsi="Times New Roman" w:eastAsia="Times New Roman" w:cs="Times New Roman"/>
          <w:b w:val="0"/>
          <w:i w:val="0"/>
          <w:color w:val="000000"/>
          <w:sz w:val="24"/>
        </w:rPr>
        <w:t xml:space="preserve"> 130-seed benchmark raw data: per-seed nRF for Fusang and FastTree2 at n=200, indel rate=0.02.</w:t>
      </w:r>
    </w:p>
    <w:p>
      <w:pPr>
        <w:spacing w:after="120" w:line="360" w:lineRule="auto"/>
      </w:pPr>
      <w:r>
        <w:rPr>
          <w:rFonts w:ascii="Times New Roman" w:hAnsi="Times New Roman" w:eastAsia="Times New Roman" w:cs="Times New Roman"/>
          <w:b/>
          <w:i w:val="0"/>
          <w:color w:val="000000"/>
          <w:sz w:val="24"/>
        </w:rPr>
        <w:t>Supplementary Table S5.</w:t>
      </w:r>
      <w:r>
        <w:rPr>
          <w:rFonts w:ascii="Times New Roman" w:hAnsi="Times New Roman" w:eastAsia="Times New Roman" w:cs="Times New Roman"/>
          <w:b w:val="0"/>
          <w:i w:val="0"/>
          <w:color w:val="000000"/>
          <w:sz w:val="24"/>
        </w:rPr>
        <w:t xml:space="preserve"> Adaptive parameter stability: 5-repeat validation of auto-selected k,gap across n=20/50/100/200/500.</w:t>
      </w:r>
    </w:p>
    <w:p>
      <w:pPr>
        <w:spacing w:after="120" w:line="360" w:lineRule="auto"/>
      </w:pPr>
      <w:r>
        <w:rPr>
          <w:rFonts w:ascii="Times New Roman" w:hAnsi="Times New Roman" w:eastAsia="Times New Roman" w:cs="Times New Roman"/>
          <w:b/>
          <w:i w:val="0"/>
          <w:color w:val="000000"/>
          <w:sz w:val="24"/>
        </w:rPr>
        <w:t>Supplementary Table S6.</w:t>
      </w:r>
      <w:r>
        <w:rPr>
          <w:rFonts w:ascii="Times New Roman" w:hAnsi="Times New Roman" w:eastAsia="Times New Roman" w:cs="Times New Roman"/>
          <w:b w:val="0"/>
          <w:i w:val="0"/>
          <w:color w:val="000000"/>
          <w:sz w:val="24"/>
        </w:rPr>
        <w:t xml:space="preserve"> Multi-seed benchmark at n=500 (30 seeds) and n=1000 (30 seeds): all conditions complete including n=1000 indel data. All raw nRF values and statistical tests are provided for reproducibility.</w:t>
      </w:r>
    </w:p>
    <w:p>
      <w:pPr>
        <w:spacing w:after="120" w:line="360" w:lineRule="auto"/>
      </w:pPr>
      <w:r>
        <w:rPr>
          <w:rFonts w:ascii="Times New Roman" w:hAnsi="Times New Roman" w:eastAsia="Times New Roman" w:cs="Times New Roman"/>
          <w:b/>
          <w:i w:val="0"/>
          <w:color w:val="000000"/>
          <w:sz w:val="24"/>
        </w:rPr>
        <w:t>Supplementary Table S7.</w:t>
      </w:r>
      <w:r>
        <w:rPr>
          <w:rFonts w:ascii="Times New Roman" w:hAnsi="Times New Roman" w:eastAsia="Times New Roman" w:cs="Times New Roman"/>
          <w:b w:val="0"/>
          <w:i w:val="0"/>
          <w:color w:val="000000"/>
          <w:sz w:val="24"/>
        </w:rPr>
        <w:t xml:space="preserve"> BAliBASE v3.0 benchmark: per-family Fusang-vs-FastTree2 nRF (standard root-independent unrooted RF; median 0.982, mean 0.826, 3/20 families below 0.5), sequence statistics, and gap analysis for 20 protein families. No reference trees are available for this dataset, so these values measure between-method agreement, not accuracy.</w:t>
      </w:r>
    </w:p>
    <w:p>
      <w:pPr>
        <w:spacing w:after="120" w:line="360" w:lineRule="auto"/>
      </w:pPr>
      <w:r>
        <w:rPr>
          <w:rFonts w:ascii="Times New Roman" w:hAnsi="Times New Roman" w:eastAsia="Times New Roman" w:cs="Times New Roman"/>
          <w:b/>
          <w:i w:val="0"/>
          <w:color w:val="000000"/>
          <w:sz w:val="24"/>
        </w:rPr>
        <w:t>Supplementary Table S8.</w:t>
      </w:r>
      <w:r>
        <w:rPr>
          <w:rFonts w:ascii="Times New Roman" w:hAnsi="Times New Roman" w:eastAsia="Times New Roman" w:cs="Times New Roman"/>
          <w:b w:val="0"/>
          <w:i w:val="0"/>
          <w:color w:val="000000"/>
          <w:sz w:val="24"/>
        </w:rPr>
        <w:t xml:space="preserve"> Multiple comparison correction: raw and adjusted p-values for 6 ground truth dataset comparisons (Fusang vs FastTree2). Both Bonferroni (α≈0.008) and Benjamini-Hochberg FDR corrections applied.</w:t>
      </w:r>
    </w:p>
    <w:p>
      <w:pPr>
        <w:spacing w:after="120" w:line="360" w:lineRule="auto"/>
      </w:pPr>
      <w:r>
        <w:rPr>
          <w:rFonts w:ascii="Times New Roman" w:hAnsi="Times New Roman" w:eastAsia="Times New Roman" w:cs="Times New Roman"/>
          <w:b/>
          <w:i w:val="0"/>
          <w:color w:val="000000"/>
          <w:sz w:val="24"/>
        </w:rPr>
        <w:t>Supplementary Table S9.</w:t>
      </w:r>
      <w:r>
        <w:rPr>
          <w:rFonts w:ascii="Times New Roman" w:hAnsi="Times New Roman" w:eastAsia="Times New Roman" w:cs="Times New Roman"/>
          <w:b w:val="0"/>
          <w:i w:val="0"/>
          <w:color w:val="000000"/>
          <w:sz w:val="24"/>
        </w:rPr>
        <w:t xml:space="preserve"> Multi-k ensemble benchmark: per-seed nRF for Fusang (k=5,gap2; NJ-only and full pipeline), individual contiguous k-mers (k=5,7,9), and ensemble average (n=200, indel rate=0.02, 130 seeds 100–229, INDELible; TRUE-relative and FT2-relative), scored with the standard root-independent unrooted RF. TRUE-relative means: contiguous k=7 0.1938 ± 0.0295, multi-k ensemble 0.1940 ± 0.0296, Fusang full pipeline 0.1990 ± 0.0296, spaced NJ-only 0.2003 ± 0.0296, contiguous k=9 0.2005 ± 0.0299, contiguous k=5 0.2078 ± 0.0314 (Table 4).</w:t>
      </w:r>
    </w:p>
    <w:p>
      <w:pPr>
        <w:spacing w:after="120" w:line="360" w:lineRule="auto"/>
      </w:pPr>
      <w:r>
        <w:rPr>
          <w:rFonts w:ascii="Times New Roman" w:hAnsi="Times New Roman" w:eastAsia="Times New Roman" w:cs="Times New Roman"/>
          <w:b/>
          <w:i w:val="0"/>
          <w:color w:val="000000"/>
          <w:sz w:val="24"/>
        </w:rPr>
        <w:t>Supplementary Table S10.</w:t>
      </w:r>
      <w:r>
        <w:rPr>
          <w:rFonts w:ascii="Times New Roman" w:hAnsi="Times New Roman" w:eastAsia="Times New Roman" w:cs="Times New Roman"/>
          <w:b w:val="0"/>
          <w:i w:val="0"/>
          <w:color w:val="000000"/>
          <w:sz w:val="24"/>
        </w:rPr>
        <w:t xml:space="preserve"> Alignment-free competitor comparison: per-seed nRF for Co-phylog (k=19), kmacs (k=3,5,10), k-mer cosine (k=5, k=7 contiguous), Fusang (k=5,gap2 spaced; NJ-only and full pipeline), and the multi-k ensemble on n=200 indel data (130 seeds 100–229, INDELible; FT2-relative and TRUE-relative).</w:t>
      </w:r>
    </w:p>
    <w:p>
      <w:pPr>
        <w:spacing w:after="120" w:line="360" w:lineRule="auto"/>
      </w:pPr>
      <w:r>
        <w:rPr>
          <w:rFonts w:ascii="Times New Roman" w:hAnsi="Times New Roman" w:eastAsia="Times New Roman" w:cs="Times New Roman"/>
          <w:b/>
          <w:i w:val="0"/>
          <w:color w:val="000000"/>
          <w:sz w:val="24"/>
        </w:rPr>
        <w:t>Supplementary Table S11.</w:t>
      </w:r>
      <w:r>
        <w:rPr>
          <w:rFonts w:ascii="Times New Roman" w:hAnsi="Times New Roman" w:eastAsia="Times New Roman" w:cs="Times New Roman"/>
          <w:b w:val="0"/>
          <w:i w:val="0"/>
          <w:color w:val="000000"/>
          <w:sz w:val="24"/>
        </w:rPr>
        <w:t xml:space="preserve"> SwissTree gene tree benchmark: per-family nRF for all methods, sequence statistics, and reference tree properties (AFproject standard).</w:t>
      </w:r>
    </w:p>
    <w:p>
      <w:pPr>
        <w:spacing w:after="120" w:line="360" w:lineRule="auto"/>
      </w:pPr>
      <w:r>
        <w:rPr>
          <w:rFonts w:ascii="Times New Roman" w:hAnsi="Times New Roman" w:eastAsia="Times New Roman" w:cs="Times New Roman"/>
          <w:b/>
          <w:i w:val="0"/>
          <w:color w:val="000000"/>
          <w:sz w:val="24"/>
        </w:rPr>
        <w:t>Supplementary Table S12.</w:t>
      </w:r>
      <w:r>
        <w:rPr>
          <w:rFonts w:ascii="Times New Roman" w:hAnsi="Times New Roman" w:eastAsia="Times New Roman" w:cs="Times New Roman"/>
          <w:b w:val="0"/>
          <w:i w:val="0"/>
          <w:color w:val="000000"/>
          <w:sz w:val="24"/>
        </w:rPr>
        <w:t xml:space="preserve"> SwissTree per-family nRF results for all methods (k-mer cosine, spaced k-mers, Co-phylog configurations).</w:t>
      </w:r>
    </w:p>
    <w:p>
      <w:pPr>
        <w:spacing w:after="120" w:line="360" w:lineRule="auto"/>
      </w:pPr>
      <w:r>
        <w:rPr>
          <w:rFonts w:ascii="Times New Roman" w:hAnsi="Times New Roman" w:eastAsia="Times New Roman" w:cs="Times New Roman"/>
          <w:b/>
          <w:i w:val="0"/>
          <w:color w:val="000000"/>
          <w:sz w:val="24"/>
        </w:rPr>
        <w:t>Supplementary Table S13.</w:t>
      </w:r>
      <w:r>
        <w:rPr>
          <w:rFonts w:ascii="Times New Roman" w:hAnsi="Times New Roman" w:eastAsia="Times New Roman" w:cs="Times New Roman"/>
          <w:b w:val="0"/>
          <w:i w:val="0"/>
          <w:color w:val="000000"/>
          <w:sz w:val="24"/>
        </w:rPr>
        <w:t xml:space="preserve"> L3 pipeline-level validation: per-seed nRF for L0 (single-k NJ), L1 (multi-k ensemble NJ), and L3 (MAFFT+FastTree2) against the true simulated tree (n=200, L=1000 bp, indel=0.02, 30 seeds, seeds 300–329, all levels complete). Values are standard root-independent unrooted RF from the INDELible v1.03 regeneration; the superseded hand-written-simulator dataset is not reported (see Table 5 provenance note). Source: </w:t>
      </w:r>
      <w:r>
        <w:rPr>
          <w:rFonts w:ascii="Consolas" w:hAnsi="Consolas" w:eastAsia="Consolas" w:cs="Consolas"/>
          <w:b w:val="0"/>
          <w:i w:val="0"/>
          <w:color w:val="000000"/>
          <w:sz w:val="24"/>
        </w:rPr>
        <w:t>bench_l3_coalescent_indelible_30seeds_nrfstandard.csv</w:t>
      </w:r>
      <w:r>
        <w:rPr>
          <w:rFonts w:ascii="Times New Roman" w:hAnsi="Times New Roman" w:eastAsia="Times New Roman" w:cs="Times New Roman"/>
          <w:b w:val="0"/>
          <w:i w:val="0"/>
          <w:color w:val="000000"/>
          <w:sz w:val="24"/>
        </w:rPr>
        <w:t>. L3 executed on Linux (WSL2 Ubuntu-24.04, MAFFT --auto + FastTree2 -nt -gtr -nosupport); supersedes the earlier 5-seed Windows run (Supplementary Note S8).</w:t>
      </w:r>
    </w:p>
    <w:p>
      <w:pPr>
        <w:spacing w:after="120" w:line="360" w:lineRule="auto"/>
      </w:pPr>
      <w:r>
        <w:rPr>
          <w:rFonts w:ascii="Times New Roman" w:hAnsi="Times New Roman" w:eastAsia="Times New Roman" w:cs="Times New Roman"/>
          <w:b/>
          <w:i w:val="0"/>
          <w:color w:val="000000"/>
          <w:sz w:val="24"/>
        </w:rPr>
        <w:t>Supplementary Table S14.</w:t>
      </w:r>
      <w:r>
        <w:rPr>
          <w:rFonts w:ascii="Times New Roman" w:hAnsi="Times New Roman" w:eastAsia="Times New Roman" w:cs="Times New Roman"/>
          <w:b w:val="0"/>
          <w:i w:val="0"/>
          <w:color w:val="000000"/>
          <w:sz w:val="24"/>
        </w:rPr>
        <w:t xml:space="preserve"> Mash vs spaced k-mer benchmark (Table 2): per-seed nRF for Fusang (k=5, gap2 → </w:t>
      </w:r>
      <w:r>
        <w:rPr>
          <w:rFonts w:ascii="Consolas" w:hAnsi="Consolas" w:eastAsia="Consolas" w:cs="Consolas"/>
          <w:b w:val="0"/>
          <w:i w:val="0"/>
          <w:color w:val="000000"/>
          <w:sz w:val="24"/>
        </w:rPr>
        <w:t>1110011</w:t>
      </w:r>
      <w:r>
        <w:rPr>
          <w:rFonts w:ascii="Times New Roman" w:hAnsi="Times New Roman" w:eastAsia="Times New Roman" w:cs="Times New Roman"/>
          <w:b w:val="0"/>
          <w:i w:val="0"/>
          <w:color w:val="000000"/>
          <w:sz w:val="24"/>
        </w:rPr>
        <w:t>, cosine, NJ) and Mash (k=21, MinHash Jaccard, NJ) on clean and indel-rich data — n=200, L=500 bp, INDELible v1.03, 30 seeds 100–129, scored against the true tree with the standard root-independent unrooted RF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xml:space="preserve">), together with the per-seed indel/clean ratios. Mash v2.3, </w:t>
      </w:r>
      <w:r>
        <w:rPr>
          <w:rFonts w:ascii="Consolas" w:hAnsi="Consolas" w:eastAsia="Consolas" w:cs="Consolas"/>
          <w:b w:val="0"/>
          <w:i w:val="0"/>
          <w:color w:val="000000"/>
          <w:sz w:val="24"/>
        </w:rPr>
        <w:t>mash triangle -i -k 21 -s 10000</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Provenance</w:t>
      </w:r>
      <w:r>
        <w:rPr>
          <w:rFonts w:ascii="Times New Roman" w:hAnsi="Times New Roman" w:eastAsia="Times New Roman" w:cs="Times New Roman"/>
          <w:b w:val="0"/>
          <w:i w:val="0"/>
          <w:color w:val="000000"/>
          <w:sz w:val="24"/>
        </w:rPr>
        <w:t xml:space="preserve">: the values in the earlier version of this table came from </w:t>
      </w:r>
      <w:r>
        <w:rPr>
          <w:rFonts w:ascii="Consolas" w:hAnsi="Consolas" w:eastAsia="Consolas" w:cs="Consolas"/>
          <w:b w:val="0"/>
          <w:i w:val="0"/>
          <w:color w:val="000000"/>
          <w:sz w:val="24"/>
        </w:rPr>
        <w:t>benchmark_mash/{clean,indel}/seed001–030.fasta</w:t>
      </w:r>
      <w:r>
        <w:rPr>
          <w:rFonts w:ascii="Times New Roman" w:hAnsi="Times New Roman" w:eastAsia="Times New Roman" w:cs="Times New Roman"/>
          <w:b w:val="0"/>
          <w:i w:val="0"/>
          <w:color w:val="000000"/>
          <w:sz w:val="24"/>
        </w:rPr>
        <w:t xml:space="preserve"> (defective hand-written coalescent simulator; all sequences exactly 1000 bp, JC69 coefficient 1/4 instead of 3/4) and from Mash runs that omitted the required </w:t>
      </w:r>
      <w:r>
        <w:rPr>
          <w:rFonts w:ascii="Consolas" w:hAnsi="Consolas" w:eastAsia="Consolas" w:cs="Consolas"/>
          <w:b w:val="0"/>
          <w:i w:val="0"/>
          <w:color w:val="000000"/>
          <w:sz w:val="24"/>
        </w:rPr>
        <w:t>-i</w:t>
      </w:r>
      <w:r>
        <w:rPr>
          <w:rFonts w:ascii="Times New Roman" w:hAnsi="Times New Roman" w:eastAsia="Times New Roman" w:cs="Times New Roman"/>
          <w:b w:val="0"/>
          <w:i w:val="0"/>
          <w:color w:val="000000"/>
          <w:sz w:val="24"/>
        </w:rPr>
        <w:t xml:space="preserve"> flag; those values are withdrawn. See the Table 2 provenance note in the main text.</w:t>
      </w:r>
    </w:p>
    <w:p>
      <w:pPr>
        <w:spacing w:after="120" w:line="360" w:lineRule="auto"/>
      </w:pPr>
      <w:r>
        <w:rPr>
          <w:rFonts w:ascii="Times New Roman" w:hAnsi="Times New Roman" w:eastAsia="Times New Roman" w:cs="Times New Roman"/>
          <w:b/>
          <w:i w:val="0"/>
          <w:color w:val="000000"/>
          <w:sz w:val="24"/>
        </w:rPr>
        <w:t>Supplementary Table S15.</w:t>
      </w:r>
      <w:r>
        <w:rPr>
          <w:rFonts w:ascii="Times New Roman" w:hAnsi="Times New Roman" w:eastAsia="Times New Roman" w:cs="Times New Roman"/>
          <w:b w:val="0"/>
          <w:i w:val="0"/>
          <w:color w:val="000000"/>
          <w:sz w:val="24"/>
        </w:rPr>
        <w:t xml:space="preserve"> Boundary classifier E2E validation: all 150 individual scenario results including tree type, expected decision, predicted probability, and correctness.</w:t>
      </w:r>
    </w:p>
    <w:p>
      <w:pPr>
        <w:spacing w:after="120" w:line="360" w:lineRule="auto"/>
      </w:pPr>
      <w:r>
        <w:rPr>
          <w:rFonts w:ascii="Times New Roman" w:hAnsi="Times New Roman" w:eastAsia="Times New Roman" w:cs="Times New Roman"/>
          <w:b/>
          <w:i w:val="0"/>
          <w:color w:val="000000"/>
          <w:sz w:val="24"/>
        </w:rPr>
        <w:t>Supplementary Table S16.</w:t>
      </w:r>
      <w:r>
        <w:rPr>
          <w:rFonts w:ascii="Times New Roman" w:hAnsi="Times New Roman" w:eastAsia="Times New Roman" w:cs="Times New Roman"/>
          <w:b w:val="0"/>
          <w:i w:val="0"/>
          <w:color w:val="000000"/>
          <w:sz w:val="24"/>
        </w:rPr>
        <w:t xml:space="preserve"> Real genome benchmarks (AFproject community datasets): complete per-method results for fish mtDNA (25 mitochondrial genomes, Fischer et al. 2013 reference tree) and E. coli/Shigella (27 genomes, Skippington &amp; Ragan 2011 reference tree), including NCBI accessions, k-scan results, multi-k variants, kmacs/Mash/Co-phylog runs at working and AFproject-published configurations, MAFFT+FastTree2 (fish), alignment gap-content quantification, and SwissTree per-family gap fractions; ETE3 unrooted nRF scoring.</w:t>
      </w:r>
    </w:p>
    <w:p>
      <w:pPr>
        <w:spacing w:after="120" w:line="360" w:lineRule="auto"/>
      </w:pPr>
      <w:r>
        <w:rPr>
          <w:rFonts w:ascii="Times New Roman" w:hAnsi="Times New Roman" w:eastAsia="Times New Roman" w:cs="Times New Roman"/>
          <w:b/>
          <w:i w:val="0"/>
          <w:color w:val="000000"/>
          <w:sz w:val="24"/>
        </w:rPr>
        <w:t>Supplementary Table S17.</w:t>
      </w:r>
      <w:r>
        <w:rPr>
          <w:rFonts w:ascii="Times New Roman" w:hAnsi="Times New Roman" w:eastAsia="Times New Roman" w:cs="Times New Roman"/>
          <w:b w:val="0"/>
          <w:i w:val="0"/>
          <w:color w:val="000000"/>
          <w:sz w:val="24"/>
        </w:rPr>
        <w:t xml:space="preserve"> Gene-length real DNA benchmark: per-locus results for the 13 mitochondrial protein-coding genes (168–1,866 bp) from the 25 fish genomes — locus lengths, per-locus alignment gap fractions, ETE3 nRF vs the Fischer et al. 2013 whole-mitogenome reference tree, and Fusang-vs-FastTree2 agreement nRF, for the multi-k ensemble (mean of k=5,7,9 cosine distances), single k=5, single k=7, and the MAFFT+FastTree2 anchor.</w:t>
      </w:r>
    </w:p>
    <w:p>
      <w:pPr>
        <w:spacing w:after="120" w:line="360" w:lineRule="auto"/>
      </w:pPr>
      <w:r>
        <w:rPr>
          <w:rFonts w:ascii="Times New Roman" w:hAnsi="Times New Roman" w:eastAsia="Times New Roman" w:cs="Times New Roman"/>
          <w:b/>
          <w:i w:val="0"/>
          <w:color w:val="000000"/>
          <w:sz w:val="24"/>
        </w:rPr>
        <w:t>Supplementary Note S1.</w:t>
      </w:r>
      <w:r>
        <w:rPr>
          <w:rFonts w:ascii="Times New Roman" w:hAnsi="Times New Roman" w:eastAsia="Times New Roman" w:cs="Times New Roman"/>
          <w:b w:val="0"/>
          <w:i w:val="0"/>
          <w:color w:val="000000"/>
          <w:sz w:val="24"/>
        </w:rPr>
        <w:t xml:space="preserve"> INDELible simulation parameters and indel model details.</w:t>
      </w:r>
    </w:p>
    <w:p>
      <w:pPr>
        <w:spacing w:after="120" w:line="360" w:lineRule="auto"/>
      </w:pPr>
      <w:r>
        <w:rPr>
          <w:rFonts w:ascii="Times New Roman" w:hAnsi="Times New Roman" w:eastAsia="Times New Roman" w:cs="Times New Roman"/>
          <w:b/>
          <w:i w:val="0"/>
          <w:color w:val="000000"/>
          <w:sz w:val="24"/>
        </w:rPr>
        <w:t>Supplementary Note S2.</w:t>
      </w:r>
      <w:r>
        <w:rPr>
          <w:rFonts w:ascii="Times New Roman" w:hAnsi="Times New Roman" w:eastAsia="Times New Roman" w:cs="Times New Roman"/>
          <w:b w:val="0"/>
          <w:i w:val="0"/>
          <w:color w:val="000000"/>
          <w:sz w:val="24"/>
        </w:rPr>
        <w:t xml:space="preserve"> Gap optimality on indel data: mechanism and robustness analysis.</w:t>
      </w:r>
    </w:p>
    <w:p>
      <w:pPr>
        <w:spacing w:after="120" w:line="360" w:lineRule="auto"/>
      </w:pPr>
      <w:r>
        <w:rPr>
          <w:rFonts w:ascii="Times New Roman" w:hAnsi="Times New Roman" w:eastAsia="Times New Roman" w:cs="Times New Roman"/>
          <w:b/>
          <w:i w:val="0"/>
          <w:color w:val="000000"/>
          <w:sz w:val="24"/>
        </w:rPr>
        <w:t>Supplementary Note S3.</w:t>
      </w:r>
      <w:r>
        <w:rPr>
          <w:rFonts w:ascii="Times New Roman" w:hAnsi="Times New Roman" w:eastAsia="Times New Roman" w:cs="Times New Roman"/>
          <w:b w:val="0"/>
          <w:i w:val="0"/>
          <w:color w:val="000000"/>
          <w:sz w:val="24"/>
        </w:rPr>
        <w:t xml:space="preserve"> BAliBASE gap diagnosis: root causes of performance variation on protein sequences. (Note written under the previous root-dependent nRF implementation; under the standard root-independent unrooted RF now used throughout, the per-family values are Fusang–FastTree2 </w:t>
      </w:r>
      <w:r>
        <w:rPr>
          <w:rFonts w:ascii="Times New Roman" w:hAnsi="Times New Roman" w:eastAsia="Times New Roman" w:cs="Times New Roman"/>
          <w:b w:val="0"/>
          <w:i/>
          <w:color w:val="000000"/>
          <w:sz w:val="24"/>
        </w:rPr>
        <w:t>disagreements</w:t>
      </w:r>
      <w:r>
        <w:rPr>
          <w:rFonts w:ascii="Times New Roman" w:hAnsi="Times New Roman" w:eastAsia="Times New Roman" w:cs="Times New Roman"/>
          <w:b w:val="0"/>
          <w:i w:val="0"/>
          <w:color w:val="000000"/>
          <w:sz w:val="24"/>
        </w:rPr>
        <w:t xml:space="preserve"> with median 0.982 — see Supplementary Table S7 and Discussion.)</w:t>
      </w:r>
    </w:p>
    <w:p>
      <w:pPr>
        <w:spacing w:after="120" w:line="360" w:lineRule="auto"/>
      </w:pPr>
      <w:r>
        <w:rPr>
          <w:rFonts w:ascii="Times New Roman" w:hAnsi="Times New Roman" w:eastAsia="Times New Roman" w:cs="Times New Roman"/>
          <w:b/>
          <w:i w:val="0"/>
          <w:color w:val="000000"/>
          <w:sz w:val="24"/>
        </w:rPr>
        <w:t>Supplementary Note S4.</w:t>
      </w:r>
      <w:r>
        <w:rPr>
          <w:rFonts w:ascii="Times New Roman" w:hAnsi="Times New Roman" w:eastAsia="Times New Roman" w:cs="Times New Roman"/>
          <w:b w:val="0"/>
          <w:i w:val="0"/>
          <w:color w:val="000000"/>
          <w:sz w:val="24"/>
        </w:rPr>
        <w:t xml:space="preserve"> Alignment-free competitor method implementations: detailed description of Co-phylog (Python reimplementation based on source code), K-mer cosine baseline, and andi scale limitation analysis. All competitor figures quoted in Table 7 (Co-phylog k=19, kmacs k∈{3,5,10}, contiguous k-mer cosine k=5/7/9, multi-k ensemble, spaced NJ-only) were rescored with the standard root-independent unrooted RF (</w:t>
      </w:r>
      <w:r>
        <w:rPr>
          <w:rFonts w:ascii="Consolas" w:hAnsi="Consolas" w:eastAsia="Consolas" w:cs="Consolas"/>
          <w:b w:val="0"/>
          <w:i w:val="0"/>
          <w:color w:val="000000"/>
          <w:sz w:val="24"/>
        </w:rPr>
        <w:t>nrf_standard.py</w:t>
      </w:r>
      <w:r>
        <w:rPr>
          <w:rFonts w:ascii="Times New Roman" w:hAnsi="Times New Roman" w:eastAsia="Times New Roman" w:cs="Times New Roman"/>
          <w:b w:val="0"/>
          <w:i w:val="0"/>
          <w:color w:val="000000"/>
          <w:sz w:val="24"/>
        </w:rPr>
        <w:t>); the values in earlier versions of Table 7 (Co-phylog 0.416, kmacs k=3 0.221, cosine k=5 0.136, k=7 0.127, ensemble 0.128, spaced NJ-only 0.132, full pipeline 0.122) came from the superseded root-dependent implementation and are withdrawn.</w:t>
      </w:r>
    </w:p>
    <w:p>
      <w:pPr>
        <w:spacing w:after="120" w:line="360" w:lineRule="auto"/>
      </w:pPr>
      <w:r>
        <w:rPr>
          <w:rFonts w:ascii="Times New Roman" w:hAnsi="Times New Roman" w:eastAsia="Times New Roman" w:cs="Times New Roman"/>
          <w:b/>
          <w:i w:val="0"/>
          <w:color w:val="000000"/>
          <w:sz w:val="24"/>
        </w:rPr>
        <w:t>Supplementary Note S5.</w:t>
      </w:r>
      <w:r>
        <w:rPr>
          <w:rFonts w:ascii="Times New Roman" w:hAnsi="Times New Roman" w:eastAsia="Times New Roman" w:cs="Times New Roman"/>
          <w:b w:val="0"/>
          <w:i w:val="0"/>
          <w:color w:val="000000"/>
          <w:sz w:val="24"/>
        </w:rPr>
        <w:t xml:space="preserve"> Fusang v1 (NAR 2023) detailed comparison: architecture, performance, and limitations.</w:t>
      </w:r>
    </w:p>
    <w:p>
      <w:pPr>
        <w:spacing w:after="120" w:line="360" w:lineRule="auto"/>
      </w:pPr>
      <w:r>
        <w:rPr>
          <w:rFonts w:ascii="Times New Roman" w:hAnsi="Times New Roman" w:eastAsia="Times New Roman" w:cs="Times New Roman"/>
          <w:b/>
          <w:i w:val="0"/>
          <w:color w:val="000000"/>
          <w:sz w:val="24"/>
        </w:rPr>
        <w:t>Supplementary Note S6.</w:t>
      </w:r>
      <w:r>
        <w:rPr>
          <w:rFonts w:ascii="Times New Roman" w:hAnsi="Times New Roman" w:eastAsia="Times New Roman" w:cs="Times New Roman"/>
          <w:b w:val="0"/>
          <w:i w:val="0"/>
          <w:color w:val="000000"/>
          <w:sz w:val="24"/>
        </w:rPr>
        <w:t xml:space="preserve"> Multiple comparison correction methodology and multi-k ensemble parameter selection.</w:t>
      </w:r>
    </w:p>
    <w:p>
      <w:pPr>
        <w:spacing w:after="120" w:line="360" w:lineRule="auto"/>
      </w:pPr>
      <w:r>
        <w:rPr>
          <w:rFonts w:ascii="Times New Roman" w:hAnsi="Times New Roman" w:eastAsia="Times New Roman" w:cs="Times New Roman"/>
          <w:b/>
          <w:i w:val="0"/>
          <w:color w:val="000000"/>
          <w:sz w:val="24"/>
        </w:rPr>
        <w:t>Supplementary Note S7.</w:t>
      </w:r>
      <w:r>
        <w:rPr>
          <w:rFonts w:ascii="Times New Roman" w:hAnsi="Times New Roman" w:eastAsia="Times New Roman" w:cs="Times New Roman"/>
          <w:b w:val="0"/>
          <w:i w:val="0"/>
          <w:color w:val="000000"/>
          <w:sz w:val="24"/>
        </w:rPr>
        <w:t xml:space="preserve"> SwissTree gene tree benchmark: per-family detailed results, reproduction instructions, and comparison with AFproject published benchmarks.</w:t>
      </w:r>
    </w:p>
    <w:p>
      <w:pPr>
        <w:spacing w:after="120" w:line="360" w:lineRule="auto"/>
      </w:pPr>
      <w:r>
        <w:rPr>
          <w:rFonts w:ascii="Times New Roman" w:hAnsi="Times New Roman" w:eastAsia="Times New Roman" w:cs="Times New Roman"/>
          <w:b/>
          <w:i w:val="0"/>
          <w:color w:val="000000"/>
          <w:sz w:val="24"/>
        </w:rPr>
        <w:t>Supplementary Note S8.</w:t>
      </w:r>
      <w:r>
        <w:rPr>
          <w:rFonts w:ascii="Times New Roman" w:hAnsi="Times New Roman" w:eastAsia="Times New Roman" w:cs="Times New Roman"/>
          <w:b w:val="0"/>
          <w:i w:val="0"/>
          <w:color w:val="000000"/>
          <w:sz w:val="24"/>
        </w:rPr>
        <w:t xml:space="preserve"> L3 validation methodology: protocol parameters (n=200, L=1000 bp, sub=0.05, indel=0.02), MAFFT+FastTree2 configuration (Linux rerun with corrected nucleotide protocol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xml:space="preserve">), true tree generation, Windows MAFFT instability analysis, and supersession of the earlier 5-seed Windows run (which omitted the -nt nucleotide flag). </w:t>
      </w:r>
      <w:r>
        <w:rPr>
          <w:rFonts w:ascii="Times New Roman" w:hAnsi="Times New Roman" w:eastAsia="Times New Roman" w:cs="Times New Roman"/>
          <w:b/>
          <w:i w:val="0"/>
          <w:color w:val="000000"/>
          <w:sz w:val="24"/>
        </w:rPr>
        <w:t>Additional supersession (data level):</w:t>
      </w:r>
      <w:r>
        <w:rPr>
          <w:rFonts w:ascii="Times New Roman" w:hAnsi="Times New Roman" w:eastAsia="Times New Roman" w:cs="Times New Roman"/>
          <w:b w:val="0"/>
          <w:i w:val="0"/>
          <w:color w:val="000000"/>
          <w:sz w:val="24"/>
        </w:rPr>
        <w:t xml:space="preserve"> the datasets for this comparison have also been regenerated with INDELible v1.03 (seeds 300–329) under the same stated parameters, replacing data from the original hand-written coalescent simulator. The replacement data are more divergent (mean root-to-tip 0.0573 subs/site vs 0.0172) yet yield nRF values 4–5× lower, so the earlier figures (L0 0.743, L1 0.583, L3 0.601) cannot be a harder realization of the same protocol and are withdrawn; all Table 5 values come from the replacement data.</w:t>
      </w:r>
    </w:p>
    <w:p>
      <w:pPr>
        <w:spacing w:after="120" w:line="360" w:lineRule="auto"/>
      </w:pPr>
      <w:r>
        <w:rPr>
          <w:rFonts w:ascii="Times New Roman" w:hAnsi="Times New Roman" w:eastAsia="Times New Roman" w:cs="Times New Roman"/>
          <w:b/>
          <w:i w:val="0"/>
          <w:color w:val="000000"/>
          <w:sz w:val="24"/>
        </w:rPr>
        <w:t>Supplementary Note S9.</w:t>
      </w:r>
      <w:r>
        <w:rPr>
          <w:rFonts w:ascii="Times New Roman" w:hAnsi="Times New Roman" w:eastAsia="Times New Roman" w:cs="Times New Roman"/>
          <w:b w:val="0"/>
          <w:i w:val="0"/>
          <w:color w:val="000000"/>
          <w:sz w:val="24"/>
        </w:rPr>
        <w:t xml:space="preserve"> Boundary classifier architecture: random forest feature set (50 dimensions, 7 groups), training data composition (8,116 samples from 585 INDELible-simulated trees; sub-cluster sampling cap 15 for n≤300 and 5 for n=500), and E2E test scenario generation parameters.</w:t>
      </w:r>
    </w:p>
    <w:p>
      <w:pPr>
        <w:spacing w:after="120" w:line="360" w:lineRule="auto"/>
      </w:pPr>
      <w:r>
        <w:rPr>
          <w:rFonts w:ascii="Times New Roman" w:hAnsi="Times New Roman" w:eastAsia="Times New Roman" w:cs="Times New Roman"/>
          <w:b/>
          <w:i w:val="0"/>
          <w:color w:val="000000"/>
          <w:sz w:val="24"/>
        </w:rPr>
        <w:t>Supplementary Note S10.</w:t>
      </w:r>
      <w:r>
        <w:rPr>
          <w:rFonts w:ascii="Times New Roman" w:hAnsi="Times New Roman" w:eastAsia="Times New Roman" w:cs="Times New Roman"/>
          <w:b w:val="0"/>
          <w:i w:val="0"/>
          <w:color w:val="000000"/>
          <w:sz w:val="24"/>
        </w:rPr>
        <w:t xml:space="preserve"> IQ-TREE2 benchmark methodology and results: complete timeout analysis at n≥500, n=200 indel comparison showing IQ-TREE2 1.06× worse than Fusang k-mer NJ (standard root-independent unrooted nRF=0.210 ± 0.031 vs 0.199 ± 0.030, 130 seeds, paired Wilcoxon p=7.95×10⁻⁵, d=0.385, Fusang better in 77/130), and analysis demonstrating that indel-induced alignment errors degrade even fixed-model (GTR) ML inference. The previously reported 1.9× (0.231 vs 0.122) divided an IQ-TREE2 value from one nRF implementation by a Fusang value from another and is withdrawn; rescoring: </w:t>
      </w:r>
      <w:r>
        <w:rPr>
          <w:rFonts w:ascii="Consolas" w:hAnsi="Consolas" w:eastAsia="Consolas" w:cs="Consolas"/>
          <w:b w:val="0"/>
          <w:i w:val="0"/>
          <w:color w:val="000000"/>
          <w:sz w:val="24"/>
        </w:rPr>
        <w:t>rescore_iqtree2_nrfstandard.py</w:t>
      </w:r>
      <w:r>
        <w:rPr>
          <w:rFonts w:ascii="Times New Roman" w:hAnsi="Times New Roman" w:eastAsia="Times New Roman" w:cs="Times New Roman"/>
          <w:b w:val="0"/>
          <w:i w:val="0"/>
          <w:color w:val="000000"/>
          <w:sz w:val="24"/>
        </w:rPr>
        <w:t xml:space="preserve">, output </w:t>
      </w:r>
      <w:r>
        <w:rPr>
          <w:rFonts w:ascii="Consolas" w:hAnsi="Consolas" w:eastAsia="Consolas" w:cs="Consolas"/>
          <w:b w:val="0"/>
          <w:i w:val="0"/>
          <w:color w:val="000000"/>
          <w:sz w:val="24"/>
        </w:rPr>
        <w:t>indelible_iqtree2/iqtree2_n200_indel_nrfstandard.csv</w:t>
      </w:r>
      <w:r>
        <w:rPr>
          <w:rFonts w:ascii="Times New Roman" w:hAnsi="Times New Roman" w:eastAsia="Times New Roman" w:cs="Times New Roman"/>
          <w:b w:val="0"/>
          <w:i w:val="0"/>
          <w:color w:val="000000"/>
          <w:sz w:val="24"/>
        </w:rPr>
        <w:t>, verified against DendroPy 5.0.8 on all 130 seed pairs (max deviation 0). The IQ-TREE2 benchmark used a fixed GTR model (</w:t>
      </w:r>
      <w:r>
        <w:rPr>
          <w:rFonts w:ascii="Consolas" w:hAnsi="Consolas" w:eastAsia="Consolas" w:cs="Consolas"/>
          <w:b w:val="0"/>
          <w:i w:val="0"/>
          <w:color w:val="000000"/>
          <w:sz w:val="24"/>
        </w:rPr>
        <w:t>-m GTR</w:t>
      </w:r>
      <w:r>
        <w:rPr>
          <w:rFonts w:ascii="Times New Roman" w:hAnsi="Times New Roman" w:eastAsia="Times New Roman" w:cs="Times New Roman"/>
          <w:b w:val="0"/>
          <w:i w:val="0"/>
          <w:color w:val="000000"/>
          <w:sz w:val="24"/>
        </w:rPr>
        <w:t xml:space="preserve">), not ModelFinder auto-selection, ensuring a fair model-class comparison with FastTree2 (also GTR-based). The canonical run was executed on WSL2 Ubuntu-24.04 (IQ-TREE 2.4.0 for Linux, </w:t>
      </w:r>
      <w:r>
        <w:rPr>
          <w:rFonts w:ascii="Consolas" w:hAnsi="Consolas" w:eastAsia="Consolas" w:cs="Consolas"/>
          <w:b w:val="0"/>
          <w:i w:val="0"/>
          <w:color w:val="000000"/>
          <w:sz w:val="24"/>
        </w:rPr>
        <w:t>-nt 1</w:t>
      </w:r>
      <w:r>
        <w:rPr>
          <w:rFonts w:ascii="Times New Roman" w:hAnsi="Times New Roman" w:eastAsia="Times New Roman" w:cs="Times New Roman"/>
          <w:b w:val="0"/>
          <w:i w:val="0"/>
          <w:color w:val="000000"/>
          <w:sz w:val="24"/>
        </w:rPr>
        <w:t>); a full Windows 2.4.0 replicate run reproduced the result (mean nRF 0.231238 vs 0.231472, difference 0.0002), with per-seed differences attributable to tree-search stochasticity across binaries (36/130 seeds identical, mean |Δ|=0.0062).</w:t>
      </w:r>
    </w:p>
    <w:p>
      <w:pPr>
        <w:spacing w:after="120" w:line="360" w:lineRule="auto"/>
      </w:pPr>
      <w:r>
        <w:rPr>
          <w:rFonts w:ascii="Times New Roman" w:hAnsi="Times New Roman" w:eastAsia="Times New Roman" w:cs="Times New Roman"/>
          <w:b/>
          <w:i w:val="0"/>
          <w:color w:val="000000"/>
          <w:sz w:val="24"/>
        </w:rPr>
        <w:t>Supplementary Note S17.</w:t>
      </w:r>
      <w:r>
        <w:rPr>
          <w:rFonts w:ascii="Times New Roman" w:hAnsi="Times New Roman" w:eastAsia="Times New Roman" w:cs="Times New Roman"/>
          <w:b w:val="0"/>
          <w:i w:val="0"/>
          <w:color w:val="000000"/>
          <w:sz w:val="24"/>
        </w:rPr>
        <w:t xml:space="preserve"> 16S rRNA dataset annotation incident and remediation. The accession→organism mapping table (</w:t>
      </w:r>
      <w:r>
        <w:rPr>
          <w:rFonts w:ascii="Consolas" w:hAnsi="Consolas" w:eastAsia="Consolas" w:cs="Consolas"/>
          <w:b w:val="0"/>
          <w:i w:val="0"/>
          <w:color w:val="000000"/>
          <w:sz w:val="24"/>
        </w:rPr>
        <w:t>CURATED_16S</w:t>
      </w:r>
      <w:r>
        <w:rPr>
          <w:rFonts w:ascii="Times New Roman" w:hAnsi="Times New Roman" w:eastAsia="Times New Roman" w:cs="Times New Roman"/>
          <w:b w:val="0"/>
          <w:i w:val="0"/>
          <w:color w:val="000000"/>
          <w:sz w:val="24"/>
        </w:rPr>
        <w:t xml:space="preserve"> in </w:t>
      </w:r>
      <w:r>
        <w:rPr>
          <w:rFonts w:ascii="Consolas" w:hAnsi="Consolas" w:eastAsia="Consolas" w:cs="Consolas"/>
          <w:b w:val="0"/>
          <w:i w:val="0"/>
          <w:color w:val="000000"/>
          <w:sz w:val="24"/>
        </w:rPr>
        <w:t>download_16s_robust.py</w:t>
      </w:r>
      <w:r>
        <w:rPr>
          <w:rFonts w:ascii="Times New Roman" w:hAnsi="Times New Roman" w:eastAsia="Times New Roman" w:cs="Times New Roman"/>
          <w:b w:val="0"/>
          <w:i w:val="0"/>
          <w:color w:val="000000"/>
          <w:sz w:val="24"/>
        </w:rPr>
        <w:t>) originally shipped with this dataset was erroneous at the genus/species/strain level for all 73 downloaded accessions. The sequences themselves are genuine GenBank 16S rRNA records — each was verified against NCBI as byte-identical (identity=1.0000 on spot checks) — so the error was in the labels, not the sequences. We re-annotated every accession against NCBI Taxonomy via its TaxID and recomputed every taxonomy-dependent analysis (Table 9 permutation tests, monophyly recovery, RF against the taxonomy-derived reference tree) under the corrected annotation; all values reported in the main text use this corrected annotation. The incident also surfaced a second, independent defect: the archived alignment (</w:t>
      </w:r>
      <w:r>
        <w:rPr>
          <w:rFonts w:ascii="Consolas" w:hAnsi="Consolas" w:eastAsia="Consolas" w:cs="Consolas"/>
          <w:b w:val="0"/>
          <w:i w:val="0"/>
          <w:color w:val="000000"/>
          <w:sz w:val="24"/>
        </w:rPr>
        <w:t>real_16S_full_aligned.fasta</w:t>
      </w:r>
      <w:r>
        <w:rPr>
          <w:rFonts w:ascii="Times New Roman" w:hAnsi="Times New Roman" w:eastAsia="Times New Roman" w:cs="Times New Roman"/>
          <w:b w:val="0"/>
          <w:i w:val="0"/>
          <w:color w:val="000000"/>
          <w:sz w:val="24"/>
        </w:rPr>
        <w:t xml:space="preserve">) was not genuinely aligned (cross-species pairwise identity fell below the 0.25 random baseline), so the alignment-based comparator was rebuilt end-to-end (MAFFT 7.526 </w:t>
      </w:r>
      <w:r>
        <w:rPr>
          <w:rFonts w:ascii="Consolas" w:hAnsi="Consolas" w:eastAsia="Consolas" w:cs="Consolas"/>
          <w:b w:val="0"/>
          <w:i w:val="0"/>
          <w:color w:val="000000"/>
          <w:sz w:val="24"/>
        </w:rPr>
        <w:t>--localpair --maxiterate 1000</w:t>
      </w:r>
      <w:r>
        <w:rPr>
          <w:rFonts w:ascii="Times New Roman" w:hAnsi="Times New Roman" w:eastAsia="Times New Roman" w:cs="Times New Roman"/>
          <w:b w:val="0"/>
          <w:i w:val="0"/>
          <w:color w:val="000000"/>
          <w:sz w:val="24"/>
        </w:rPr>
        <w:t xml:space="preserve"> + FastTree2 </w:t>
      </w:r>
      <w:r>
        <w:rPr>
          <w:rFonts w:ascii="Consolas" w:hAnsi="Consolas" w:eastAsia="Consolas" w:cs="Consolas"/>
          <w:b w:val="0"/>
          <w:i w:val="0"/>
          <w:color w:val="000000"/>
          <w:sz w:val="24"/>
        </w:rPr>
        <w:t>-nt -gtr -nosupport</w:t>
      </w:r>
      <w:r>
        <w:rPr>
          <w:rFonts w:ascii="Times New Roman" w:hAnsi="Times New Roman" w:eastAsia="Times New Roman" w:cs="Times New Roman"/>
          <w:b w:val="0"/>
          <w:i w:val="0"/>
          <w:color w:val="000000"/>
          <w:sz w:val="24"/>
        </w:rPr>
        <w:t>). The full incident record, true dataset composition, and reproduction steps are provided in the reproducibility package (</w:t>
      </w:r>
      <w:r>
        <w:rPr>
          <w:rFonts w:ascii="Consolas" w:hAnsi="Consolas" w:eastAsia="Consolas" w:cs="Consolas"/>
          <w:b w:val="0"/>
          <w:i w:val="0"/>
          <w:color w:val="000000"/>
          <w:sz w:val="24"/>
        </w:rPr>
        <w:t>real_data/real_16S_TRUE_label_incident.md</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4"/>
        </w:rPr>
        <w:t>real_16S_monophyly.json</w:t>
      </w:r>
      <w:r>
        <w:rPr>
          <w:rFonts w:ascii="Times New Roman" w:hAnsi="Times New Roman" w:eastAsia="Times New Roman" w:cs="Times New Roman"/>
          <w:b w:val="0"/>
          <w:i w:val="0"/>
          <w:color w:val="000000"/>
          <w:sz w:val="24"/>
        </w:rPr>
        <w:t>). The Fusang method itself is unaffected: it is alignment-free and never consumed the erroneous annotation. Earlier evaluations computed against the erroneous labels (including the rank-signal values of the archived analysis) are superseded.</w:t>
      </w:r>
    </w:p>
    <w:p>
      <w:pPr>
        <w:keepNext/>
        <w:spacing w:before="240" w:after="120" w:line="276" w:lineRule="auto"/>
      </w:pPr>
      <w:r>
        <w:rPr>
          <w:rFonts w:ascii="Times New Roman" w:hAnsi="Times New Roman" w:eastAsia="Times New Roman" w:cs="Times New Roman"/>
          <w:b/>
          <w:i w:val="0"/>
          <w:color w:val="000000"/>
          <w:sz w:val="28"/>
        </w:rPr>
        <w:t>DATA AVAILABILITY</w:t>
      </w:r>
    </w:p>
    <w:p>
      <w:pPr>
        <w:spacing w:after="120" w:line="360" w:lineRule="auto"/>
      </w:pPr>
      <w:r>
        <w:rPr>
          <w:rFonts w:ascii="Times New Roman" w:hAnsi="Times New Roman" w:eastAsia="Times New Roman" w:cs="Times New Roman"/>
          <w:b w:val="0"/>
          <w:i w:val="0"/>
          <w:color w:val="000000"/>
          <w:sz w:val="24"/>
        </w:rPr>
        <w:t>Fusang: Tardigrade Edition is open-source software released under the MIT license. Source code, documentation, pre-compiled FastME binaries (Windows x86-64, Linux x86-64), benchmark scripts, and all analysis code are available at:</w:t>
      </w:r>
    </w:p>
    <w:p>
      <w:pPr>
        <w:pStyle w:val="ListBullet"/>
        <w:spacing w:after="60" w:line="360" w:lineRule="auto"/>
      </w:pPr>
      <w:r>
        <w:rPr>
          <w:rFonts w:ascii="Times New Roman" w:hAnsi="Times New Roman" w:eastAsia="Times New Roman" w:cs="Times New Roman"/>
          <w:b/>
          <w:i w:val="0"/>
          <w:color w:val="000000"/>
          <w:sz w:val="24"/>
        </w:rPr>
        <w:t>GitHub</w:t>
      </w:r>
      <w:r>
        <w:rPr>
          <w:rFonts w:ascii="Times New Roman" w:hAnsi="Times New Roman" w:eastAsia="Times New Roman" w:cs="Times New Roman"/>
          <w:b w:val="0"/>
          <w:i w:val="0"/>
          <w:color w:val="000000"/>
          <w:sz w:val="24"/>
        </w:rPr>
        <w:t>: https://github.com/zhanglknt/fusang-tardigrade</w:t>
      </w:r>
    </w:p>
    <w:p>
      <w:pPr>
        <w:pStyle w:val="ListBullet"/>
        <w:spacing w:after="60" w:line="360" w:lineRule="auto"/>
      </w:pPr>
      <w:r>
        <w:rPr>
          <w:rFonts w:ascii="Times New Roman" w:hAnsi="Times New Roman" w:eastAsia="Times New Roman" w:cs="Times New Roman"/>
          <w:b/>
          <w:i w:val="0"/>
          <w:color w:val="000000"/>
          <w:sz w:val="24"/>
        </w:rPr>
        <w:t>Zenodo</w:t>
      </w:r>
      <w:r>
        <w:rPr>
          <w:rFonts w:ascii="Times New Roman" w:hAnsi="Times New Roman" w:eastAsia="Times New Roman" w:cs="Times New Roman"/>
          <w:b w:val="0"/>
          <w:i w:val="0"/>
          <w:color w:val="000000"/>
          <w:sz w:val="24"/>
        </w:rPr>
        <w:t>: https://doi.org/10.5281/zenodo.20746742 (archived source code, benchmark datasets, and supplementary materials)</w:t>
      </w:r>
    </w:p>
    <w:p>
      <w:pPr>
        <w:spacing w:after="120" w:line="360" w:lineRule="auto"/>
      </w:pPr>
      <w:r>
        <w:rPr>
          <w:rFonts w:ascii="Times New Roman" w:hAnsi="Times New Roman" w:eastAsia="Times New Roman" w:cs="Times New Roman"/>
          <w:b w:val="0"/>
          <w:i w:val="0"/>
          <w:color w:val="000000"/>
          <w:sz w:val="24"/>
        </w:rPr>
        <w:t xml:space="preserve">All benchmark datasets — including 130-seed n=200 indel benchmark results, n=500 and n=1000 multi-seed data, 30-seed L3 pipeline validation (Linux), Mash benchmark, kmacs and Skmer competitor benchmarks (including the Skmer inapplicability record), AFproject real genome benchmarks (fish mtDNA and E. coli/Shigella, with NCBI accessions and full per-method results), E2E classifier validation, 73-taxon 16S rRNA dataset, BAliBASE v3.0 20-family results, and DCM degradation tracing data — are provided in the repository under </w:t>
      </w:r>
      <w:r>
        <w:rPr>
          <w:rFonts w:ascii="Consolas" w:hAnsi="Consolas" w:eastAsia="Consolas" w:cs="Consolas"/>
          <w:b w:val="0"/>
          <w:i w:val="0"/>
          <w:color w:val="000000"/>
          <w:sz w:val="24"/>
        </w:rPr>
        <w:t>benchmarks/</w:t>
      </w:r>
      <w:r>
        <w:rPr>
          <w:rFonts w:ascii="Times New Roman" w:hAnsi="Times New Roman" w:eastAsia="Times New Roman" w:cs="Times New Roman"/>
          <w:b w:val="0"/>
          <w:i w:val="0"/>
          <w:color w:val="000000"/>
          <w:sz w:val="24"/>
        </w:rPr>
        <w:t xml:space="preserve"> and as Supplementary Data. A storage-corruption incident affected 21 competitor-benchmark input files (5 FASTA and 16 tree files, seeds 109–126); recovery proceeded via three independent validated paths (reconstruction from intact aligned FASTA, deterministic regeneration from the seeded simulation code — regenerated files validated byte-identical across the independent recovery paths — and FastTree2 reruns on intact alignments). All affected tables were recomputed: 53/54 affected per-seed nRF values match the pre-incident master CSV (one FastTree2 value differs by two bipartitions, 0.0787→0.0838). Corrupted originals are quarantined, and the recovery log with checksums is documented in the reproducibility package. INDELible simulation configuration files are included for full reproducibility.</w:t>
      </w:r>
    </w:p>
    <w:p>
      <w:pPr>
        <w:spacing w:after="120" w:line="360" w:lineRule="auto"/>
      </w:pPr>
      <w:r>
        <w:rPr>
          <w:rFonts w:ascii="Times New Roman" w:hAnsi="Times New Roman" w:eastAsia="Times New Roman" w:cs="Times New Roman"/>
          <w:b w:val="0"/>
          <w:i w:val="0"/>
          <w:color w:val="000000"/>
          <w:sz w:val="24"/>
        </w:rPr>
        <w:t>The Fusang v1 NAR 2023 cover article [6] source code is available at its original repository. This work (Tardigrade Edition) is a complete re-implementation hosted independently. A CITATION.cff file is provided for citation metadata.</w:t>
      </w:r>
    </w:p>
    <w:p>
      <w:pPr>
        <w:keepNext/>
        <w:spacing w:before="240" w:after="120" w:line="276" w:lineRule="auto"/>
      </w:pPr>
      <w:r>
        <w:rPr>
          <w:rFonts w:ascii="Times New Roman" w:hAnsi="Times New Roman" w:eastAsia="Times New Roman" w:cs="Times New Roman"/>
          <w:b/>
          <w:i w:val="0"/>
          <w:color w:val="000000"/>
          <w:sz w:val="28"/>
        </w:rPr>
        <w:t>FUNDING</w:t>
      </w:r>
    </w:p>
    <w:p>
      <w:pPr>
        <w:spacing w:after="120" w:line="360" w:lineRule="auto"/>
      </w:pPr>
      <w:r>
        <w:rPr>
          <w:rFonts w:ascii="Times New Roman" w:hAnsi="Times New Roman" w:eastAsia="Times New Roman" w:cs="Times New Roman"/>
          <w:b w:val="0"/>
          <w:i w:val="0"/>
          <w:color w:val="000000"/>
          <w:sz w:val="24"/>
        </w:rPr>
        <w:t>This work was supported by the National Natural Science Foundation of China (NSFC) under grant number 32370682, and the Prevention and Control of Emerging and Major Infectious Diseases — National Science and Technology Major Project under grant number 2026ZD01910500.</w:t>
      </w:r>
    </w:p>
    <w:p>
      <w:pPr>
        <w:keepNext/>
        <w:spacing w:before="240" w:after="120" w:line="276" w:lineRule="auto"/>
      </w:pPr>
      <w:r>
        <w:rPr>
          <w:rFonts w:ascii="Times New Roman" w:hAnsi="Times New Roman" w:eastAsia="Times New Roman" w:cs="Times New Roman"/>
          <w:b/>
          <w:i w:val="0"/>
          <w:color w:val="000000"/>
          <w:sz w:val="28"/>
        </w:rPr>
        <w:t>COMPETING INTERESTS</w:t>
      </w:r>
    </w:p>
    <w:p>
      <w:pPr>
        <w:spacing w:after="120" w:line="360" w:lineRule="auto"/>
      </w:pPr>
      <w:r>
        <w:rPr>
          <w:rFonts w:ascii="Times New Roman" w:hAnsi="Times New Roman" w:eastAsia="Times New Roman" w:cs="Times New Roman"/>
          <w:b w:val="0"/>
          <w:i w:val="0"/>
          <w:color w:val="000000"/>
          <w:sz w:val="24"/>
        </w:rPr>
        <w:t>The authors declare no competing interests.</w:t>
      </w:r>
    </w:p>
    <w:p>
      <w:pPr>
        <w:keepNext/>
        <w:spacing w:before="240" w:after="120" w:line="276" w:lineRule="auto"/>
      </w:pPr>
      <w:r>
        <w:rPr>
          <w:rFonts w:ascii="Times New Roman" w:hAnsi="Times New Roman" w:eastAsia="Times New Roman" w:cs="Times New Roman"/>
          <w:b/>
          <w:i w:val="0"/>
          <w:color w:val="000000"/>
          <w:sz w:val="28"/>
        </w:rPr>
        <w:t>ACKNOWLEDGEMENTS</w:t>
      </w:r>
    </w:p>
    <w:p>
      <w:pPr>
        <w:spacing w:after="120" w:line="360" w:lineRule="auto"/>
      </w:pPr>
      <w:r>
        <w:rPr>
          <w:rFonts w:ascii="Times New Roman" w:hAnsi="Times New Roman" w:eastAsia="Times New Roman" w:cs="Times New Roman"/>
          <w:b w:val="0"/>
          <w:i w:val="0"/>
          <w:color w:val="000000"/>
          <w:sz w:val="24"/>
        </w:rPr>
        <w:t>We thank the Fusang v1 users for their feedback and suggestions that motivated this re-architecture. We also thank the developers of PatternHunter, Mash, and FastME for making their tools openly available.</w:t>
      </w:r>
    </w:p>
    <w:p>
      <w:pPr>
        <w:keepNext/>
        <w:spacing w:before="240" w:after="120" w:line="276" w:lineRule="auto"/>
      </w:pPr>
      <w:r>
        <w:rPr>
          <w:rFonts w:ascii="Times New Roman" w:hAnsi="Times New Roman" w:eastAsia="Times New Roman" w:cs="Times New Roman"/>
          <w:b/>
          <w:i w:val="0"/>
          <w:color w:val="000000"/>
          <w:sz w:val="28"/>
        </w:rPr>
        <w:t>AUTHOR CONTRIBUTIONS</w:t>
      </w:r>
    </w:p>
    <w:p>
      <w:pPr>
        <w:spacing w:after="120" w:line="360" w:lineRule="auto"/>
      </w:pPr>
      <w:r>
        <w:rPr>
          <w:rFonts w:ascii="Times New Roman" w:hAnsi="Times New Roman" w:eastAsia="Times New Roman" w:cs="Times New Roman"/>
          <w:b w:val="0"/>
          <w:i w:val="0"/>
          <w:color w:val="000000"/>
          <w:sz w:val="24"/>
        </w:rPr>
        <w:t>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p>
      <w:pPr>
        <w:keepNext/>
        <w:spacing w:before="240" w:after="120" w:line="276" w:lineRule="auto"/>
      </w:pPr>
      <w:r>
        <w:rPr>
          <w:rFonts w:ascii="Times New Roman" w:hAnsi="Times New Roman" w:eastAsia="Times New Roman" w:cs="Times New Roman"/>
          <w:b/>
          <w:i w:val="0"/>
          <w:color w:val="000000"/>
          <w:sz w:val="28"/>
        </w:rPr>
        <w:t>CORRESPONDING AUTHOR</w:t>
      </w:r>
    </w:p>
    <w:p>
      <w:pPr>
        <w:spacing w:after="120" w:line="360" w:lineRule="auto"/>
      </w:pPr>
      <w:r>
        <w:rPr>
          <w:rFonts w:ascii="Times New Roman" w:hAnsi="Times New Roman" w:eastAsia="Times New Roman" w:cs="Times New Roman"/>
          <w:b w:val="0"/>
          <w:i w:val="0"/>
          <w:color w:val="000000"/>
          <w:sz w:val="24"/>
        </w:rPr>
        <w:t>Li Zhang</w:t>
      </w:r>
    </w:p>
    <w:p>
      <w:pPr>
        <w:spacing w:after="120" w:line="360" w:lineRule="auto"/>
      </w:pPr>
      <w:r>
        <w:rPr>
          <w:rFonts w:ascii="Times New Roman" w:hAnsi="Times New Roman" w:eastAsia="Times New Roman" w:cs="Times New Roman"/>
          <w:b w:val="0"/>
          <w:i w:val="0"/>
          <w:color w:val="000000"/>
          <w:sz w:val="24"/>
        </w:rPr>
        <w:t>Institute of Blood Transfusion, Chinese Academy of Medical Sciences and Peking Union Medical College</w:t>
      </w:r>
    </w:p>
    <w:p>
      <w:pPr>
        <w:spacing w:after="120" w:line="360" w:lineRule="auto"/>
      </w:pPr>
      <w:r>
        <w:rPr>
          <w:rFonts w:ascii="Times New Roman" w:hAnsi="Times New Roman" w:eastAsia="Times New Roman" w:cs="Times New Roman"/>
          <w:b w:val="0"/>
          <w:i w:val="0"/>
          <w:color w:val="000000"/>
          <w:sz w:val="24"/>
        </w:rPr>
        <w:t>26 Huacai Road, Longtan Industrial Park, Chenghua District, Chengdu 610052, Sichuan, China</w:t>
      </w:r>
    </w:p>
    <w:p>
      <w:pPr>
        <w:spacing w:after="120" w:line="360" w:lineRule="auto"/>
      </w:pPr>
      <w:r>
        <w:rPr>
          <w:rFonts w:ascii="Times New Roman" w:hAnsi="Times New Roman" w:eastAsia="Times New Roman" w:cs="Times New Roman"/>
          <w:b w:val="0"/>
          <w:i w:val="0"/>
          <w:color w:val="000000"/>
          <w:sz w:val="24"/>
        </w:rPr>
        <w:t>Email: knightz@pumc.edu.cn</w:t>
      </w:r>
    </w:p>
    <w:p>
      <w:pPr>
        <w:keepNext/>
        <w:spacing w:before="240" w:after="120" w:line="276" w:lineRule="auto"/>
      </w:pPr>
      <w:r>
        <w:rPr>
          <w:rFonts w:ascii="Times New Roman" w:hAnsi="Times New Roman" w:eastAsia="Times New Roman" w:cs="Times New Roman"/>
          <w:b/>
          <w:i w:val="0"/>
          <w:color w:val="000000"/>
          <w:sz w:val="28"/>
        </w:rPr>
        <w:t>FIGURE LEGENDS</w:t>
      </w:r>
    </w:p>
    <w:p>
      <w:pPr>
        <w:spacing w:after="120" w:line="360" w:lineRule="auto"/>
      </w:pPr>
      <w:r>
        <w:rPr>
          <w:rFonts w:ascii="Times New Roman" w:hAnsi="Times New Roman" w:eastAsia="Times New Roman" w:cs="Times New Roman"/>
          <w:b/>
          <w:i w:val="0"/>
          <w:color w:val="000000"/>
          <w:sz w:val="24"/>
        </w:rPr>
        <w:t>Figure 1.</w:t>
      </w:r>
      <w:r>
        <w:rPr>
          <w:rFonts w:ascii="Times New Roman" w:hAnsi="Times New Roman" w:eastAsia="Times New Roman" w:cs="Times New Roman"/>
          <w:b w:val="0"/>
          <w:i w:val="0"/>
          <w:color w:val="000000"/>
          <w:sz w:val="24"/>
        </w:rPr>
        <w:t xml:space="preserve"> Indel robustness advantage. (A) nRF vs indel rate for Fusang (simplified pipeline, k=5,gap2) and FastTree2 at n=200 (Table 3 values). (B) Relative Fusang advantage over FastTree2, increasing monotonically from −8.9% at indel=0.005 (Fusang significantly worse) to +10.9% at indel=0.05, crossing zero between indel rates 0.01 and 0.02 (130 seeds per rate, Table 3). (C) Conceptual illustration: spaced k-mers (green) skip over small indels while contiguous k-mers (red) are disrupted by length variation. (D) Method comparison at indel rate=0.02 (nRF vs true simulated tree, mean ± SD): Fusang full pipeline (0.199±0.030, 130 seeds), FastTree2 (0.205±0.030, 130 seeds), IQ-TREE2 GTR (0.210±0.031, 130 seeds), Mash (0.403±0.084, 30 seeds).</w:t>
      </w:r>
    </w:p>
    <w:p>
      <w:pPr>
        <w:spacing w:after="120" w:line="360" w:lineRule="auto"/>
      </w:pPr>
      <w:r>
        <w:rPr>
          <w:rFonts w:ascii="Times New Roman" w:hAnsi="Times New Roman" w:eastAsia="Times New Roman" w:cs="Times New Roman"/>
          <w:b/>
          <w:i w:val="0"/>
          <w:color w:val="000000"/>
          <w:sz w:val="24"/>
        </w:rPr>
        <w:t>Figure 2.</w:t>
      </w:r>
      <w:r>
        <w:rPr>
          <w:rFonts w:ascii="Times New Roman" w:hAnsi="Times New Roman" w:eastAsia="Times New Roman" w:cs="Times New Roman"/>
          <w:b w:val="0"/>
          <w:i w:val="0"/>
          <w:color w:val="000000"/>
          <w:sz w:val="24"/>
        </w:rPr>
        <w:t xml:space="preserve"> 130-seed statistical benchmark. (A) Violin plots of nRF distributions for the Fusang simplified pipeline and FastTree2 on n=200 indel data (indel rate=0.02; all 130 seeds valid, none exceeding the nRF&gt;0.3 threshold), with per-seed points overlaid. (B) Sorted per-seed paired differences (FT2 − Fusang; positive = Fusang better); observed range [−0.056, 0.071], Fusang better in 71/130 seeds. (C) Cumulative win rate across the seed set, stabilising at 71/130 (54.6%). (D) Histogram of paired differences (FT2 − Fusang); Wilcoxon p=0.0507 on integer RF counts with the zero-split convention (not significant at α=0.05), paired Cohen's d=+0.20 (FT2 − Fusang orientation: positive = Fusang better).</w:t>
      </w:r>
    </w:p>
    <w:p>
      <w:pPr>
        <w:spacing w:after="120" w:line="360" w:lineRule="auto"/>
      </w:pPr>
      <w:r>
        <w:rPr>
          <w:rFonts w:ascii="Times New Roman" w:hAnsi="Times New Roman" w:eastAsia="Times New Roman" w:cs="Times New Roman"/>
          <w:b/>
          <w:i w:val="0"/>
          <w:color w:val="000000"/>
          <w:sz w:val="24"/>
        </w:rPr>
        <w:t>Figure 3.</w:t>
      </w:r>
      <w:r>
        <w:rPr>
          <w:rFonts w:ascii="Times New Roman" w:hAnsi="Times New Roman" w:eastAsia="Times New Roman" w:cs="Times New Roman"/>
          <w:b w:val="0"/>
          <w:i w:val="0"/>
          <w:color w:val="000000"/>
          <w:sz w:val="24"/>
        </w:rPr>
        <w:t xml:space="preserve"> Pipeline ablation and DCM degradation. (A) Step-by-step nRF tracing from the simplified pipeline through DCM stages (n=200 indel, seed=42, standard root-independent unrooted RF: simplified 0.081 → FastME 0.081 → distances.py 0.081 → +TF-IDF 0.137 → full DCM+EPA 0.523; multi-seed simplified-pipeline accuracy is reported in Table 1). (B) Schematic of simplified vs DCM+EPA pipeline architectures; the adaptive switch is controlled by SIMPLE_THRESHOLD=500. (C) EPA grafting error illustration: subtrees with internal structure grafted onto a fixed backbone accumulate topological errors. (D) The empirical basis originally recorded for </w:t>
      </w:r>
      <w:r>
        <w:rPr>
          <w:rFonts w:ascii="Consolas" w:hAnsi="Consolas" w:eastAsia="Consolas" w:cs="Consolas"/>
          <w:b w:val="0"/>
          <w:i w:val="0"/>
          <w:color w:val="000000"/>
          <w:sz w:val="24"/>
        </w:rPr>
        <w:t>SIMPLE_THRESHOLD = 500</w:t>
      </w:r>
      <w:r>
        <w:rPr>
          <w:rFonts w:ascii="Times New Roman" w:hAnsi="Times New Roman" w:eastAsia="Times New Roman" w:cs="Times New Roman"/>
          <w:b w:val="0"/>
          <w:i w:val="0"/>
          <w:color w:val="000000"/>
          <w:sz w:val="24"/>
        </w:rPr>
        <w:t xml:space="preserve">: at n=1,000 (seeds 401–409) DCM+EPA gave nRF = 0.083 ± 0.005 (9 seeds) against 0.102 for the simplified pipeline on a single seed. </w:t>
      </w:r>
      <w:r>
        <w:rPr>
          <w:rFonts w:ascii="Times New Roman" w:hAnsi="Times New Roman" w:eastAsia="Times New Roman" w:cs="Times New Roman"/>
          <w:b/>
          <w:i w:val="0"/>
          <w:color w:val="000000"/>
          <w:sz w:val="24"/>
        </w:rPr>
        <w:t>This panel is superseded</w:t>
      </w:r>
      <w:r>
        <w:rPr>
          <w:rFonts w:ascii="Times New Roman" w:hAnsi="Times New Roman" w:eastAsia="Times New Roman" w:cs="Times New Roman"/>
          <w:b w:val="0"/>
          <w:i w:val="0"/>
          <w:color w:val="000000"/>
          <w:sz w:val="24"/>
        </w:rPr>
        <w:t>: those values come from the root-dependent nRF implementation, the seed 401–409 true trees are no longer available so they cannot be rescored, and re-measurement under the standard root-independent unrooted RF reverses the ordering (simplified 0.2617 ± 0.0156 vs DCM+EPA 0.2726 ± 0.0177 on ten clean INDELible seeds 1000–1009, simplified better on 10/10, Wilcoxon p=0.0020, paired d=−1.45). The threshold is now justified on runtime grounds (DCM+EPA ≈3× faster: 162 s vs 502 s per seed at n=1,000), not accuracy.</w:t>
      </w:r>
    </w:p>
    <w:p>
      <w:pPr>
        <w:spacing w:after="120" w:line="360" w:lineRule="auto"/>
      </w:pPr>
      <w:r>
        <w:rPr>
          <w:rFonts w:ascii="Times New Roman" w:hAnsi="Times New Roman" w:eastAsia="Times New Roman" w:cs="Times New Roman"/>
          <w:b/>
          <w:i w:val="0"/>
          <w:color w:val="000000"/>
          <w:sz w:val="24"/>
        </w:rPr>
        <w:t>Figure 4.</w:t>
      </w:r>
      <w:r>
        <w:rPr>
          <w:rFonts w:ascii="Times New Roman" w:hAnsi="Times New Roman" w:eastAsia="Times New Roman" w:cs="Times New Roman"/>
          <w:b w:val="0"/>
          <w:i w:val="0"/>
          <w:color w:val="000000"/>
          <w:sz w:val="24"/>
        </w:rPr>
        <w:t xml:space="preserve"> Spaced k-mer parameter optimization. (A) nRF heatmap: k (4–8) × gap (0–3) at n=200; the red box marks the default k=5,gap2. (B) Adaptive parameter selection logic: n≤100→k=4,gap1; n&gt;100→k=5,gap2; genome scale (&gt;&gt;1 kb)→multi-k ensemble (k=5 saturates its 1,024 possible 5-mers). (C) Adaptive k,gap selection as a function of dataset size n: k=4,gap1 up to n=100 and k=5,gap2 beyond; 5/5 repeats returned identical selections at every scale (n=20–500), with nRF deviation &lt;0.005 across repeats. (D) Multi-k ensemble (k=5,7,9) vs single-k components and the full pipeline on the 130-seed INDELible benchmark (TRUE-relative): the ensemble significantly beats contiguous k=5 (p=2.68×10⁻¹²) and k=9 (p=9.04×10⁻⁸), ties the best single-k (k=7, p=0.669), and — under the standard root-independent RF — also significantly beats the full spaced+NNI pipeline (0.1940 vs 0.1990, p=7.7×10⁻³), so at L=500 bp the ensemble (or contiguous k=7) is the recommended configuration rather than the default pipeline.</w:t>
      </w:r>
    </w:p>
    <w:p>
      <w:pPr>
        <w:spacing w:after="120" w:line="360" w:lineRule="auto"/>
      </w:pPr>
      <w:r>
        <w:rPr>
          <w:rFonts w:ascii="Times New Roman" w:hAnsi="Times New Roman" w:eastAsia="Times New Roman" w:cs="Times New Roman"/>
          <w:b/>
          <w:i w:val="0"/>
          <w:color w:val="000000"/>
          <w:sz w:val="24"/>
        </w:rPr>
        <w:t>Figure 5.</w:t>
      </w:r>
      <w:r>
        <w:rPr>
          <w:rFonts w:ascii="Times New Roman" w:hAnsi="Times New Roman" w:eastAsia="Times New Roman" w:cs="Times New Roman"/>
          <w:b w:val="0"/>
          <w:i w:val="0"/>
          <w:color w:val="000000"/>
          <w:sz w:val="24"/>
        </w:rPr>
        <w:t xml:space="preserve"> Scalability and cross-platform deployment. (A) Wall-clock time vs n on a 4-core workstation (log–log; Table 11), with MAFFT+RAxML-NG runtimes for comparison; dotted line: O(n² log n) reference anchored at n=10,000 (69.8 s). (B) FastME BIONJ+BNNI vs NJ tree-building time: 3.5×, 15.1×, and 28.8× speedup at n=200, 500, and 1000. (C) Peak RAM vs n: below 1 GB even at n=10,000, where DCM caps memory by bounding subtree size (50 subtrees of 200 taxa). (D) FastME binary discovery cascade: bundled native binary → WSL install → system PATH, with an NJ fallback; the Windows-native and Linux binaries produce bit-identical trees.</w:t>
      </w:r>
    </w:p>
    <w:p>
      <w:pPr>
        <w:spacing w:after="120" w:line="360" w:lineRule="auto"/>
      </w:pPr>
      <w:r>
        <w:rPr>
          <w:rFonts w:ascii="Times New Roman" w:hAnsi="Times New Roman" w:eastAsia="Times New Roman" w:cs="Times New Roman"/>
          <w:b/>
          <w:i w:val="0"/>
          <w:color w:val="000000"/>
          <w:sz w:val="24"/>
        </w:rPr>
        <w:t>Figure 6.</w:t>
      </w:r>
      <w:r>
        <w:rPr>
          <w:rFonts w:ascii="Times New Roman" w:hAnsi="Times New Roman" w:eastAsia="Times New Roman" w:cs="Times New Roman"/>
          <w:b w:val="0"/>
          <w:i w:val="0"/>
          <w:color w:val="000000"/>
          <w:sz w:val="24"/>
        </w:rPr>
        <w:t xml:space="preserve"> Real-data validation. (A) Fusang 16S rRNA tree (73 taxa, k=5,gap2; 0.11 s without alignment); tip points coloured by phylum (corrected NCBI Taxonomy annotation; Supplementary Note S17). (B) Phylogenetic signal by taxonomic rank under the corrected annotation: same-rank tree-distance reduction for the Fusang tree of 31.4% at phylum (p&lt;1×10⁻⁴), 56.5% at order (p&lt;1×10⁻⁴) and 71.0% at family (p&lt;1×10⁻⁴), rising monotonically towards finer ranks; the rebuilt FastTree2 tree attains 55.5%/80.4%/90.1% at the same ranks. (C) Architectural evolution from Fusang v1 (deep learning, GPU-dependent, ≤40 taxa) to the Tardigrade Edition (k-mer frequency vectors, CPU-only, 10,000+ taxa); inset: maximum dataset size on a log scale. (D) Gene-length DNA benchmark: 13 mitochondrial loci (168–1,866 bp) from 25 fish genomes; Fusang multi-k vs FastTree2 topological agreement (nRF) improves with locus length (mean 0.373 at ≥1 kb loci vs 0.591 at the three shortest loci; overall 0.451±0.127).</w:t>
      </w:r>
    </w:p>
    <w:p>
      <w:pPr>
        <w:keepNext/>
        <w:spacing w:before="240" w:after="120" w:line="276" w:lineRule="auto"/>
      </w:pPr>
      <w:r>
        <w:rPr>
          <w:rFonts w:ascii="Times New Roman" w:hAnsi="Times New Roman" w:eastAsia="Times New Roman" w:cs="Times New Roman"/>
          <w:b/>
          <w:i w:val="0"/>
          <w:color w:val="000000"/>
          <w:sz w:val="28"/>
        </w:rPr>
        <w:t>REFERENCES</w:t>
      </w:r>
    </w:p>
    <w:p>
      <w:pPr>
        <w:spacing w:after="120" w:line="360" w:lineRule="auto"/>
      </w:pPr>
      <w:r>
        <w:rPr>
          <w:rFonts w:ascii="Times New Roman" w:hAnsi="Times New Roman" w:eastAsia="Times New Roman" w:cs="Times New Roman"/>
          <w:b w:val="0"/>
          <w:i w:val="0"/>
          <w:color w:val="000000"/>
          <w:sz w:val="24"/>
        </w:rPr>
        <w:t xml:space="preserve">1. Hadfield, J., Megill, C., Bell, S.M., Huddleston, J., Potter, B., Callender, C., Sagulenko, P., Bedford, T. and Neher, R.A. (2018) Nextstrain: real-time tracking of pathogen evolution.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34, 4121–4123. DOI: 10.1093/bioinformatics/bty407</w:t>
      </w:r>
    </w:p>
    <w:p>
      <w:pPr>
        <w:spacing w:after="120" w:line="360" w:lineRule="auto"/>
      </w:pPr>
      <w:r>
        <w:rPr>
          <w:rFonts w:ascii="Times New Roman" w:hAnsi="Times New Roman" w:eastAsia="Times New Roman" w:cs="Times New Roman"/>
          <w:b w:val="0"/>
          <w:i w:val="0"/>
          <w:color w:val="000000"/>
          <w:sz w:val="24"/>
        </w:rPr>
        <w:t xml:space="preserve">2. Hug, L.A. et al. (2016) A new view of the tree of life. </w:t>
      </w:r>
      <w:r>
        <w:rPr>
          <w:rFonts w:ascii="Times New Roman" w:hAnsi="Times New Roman" w:eastAsia="Times New Roman" w:cs="Times New Roman"/>
          <w:b w:val="0"/>
          <w:i/>
          <w:color w:val="000000"/>
          <w:sz w:val="24"/>
        </w:rPr>
        <w:t>Nat. Microbiol.</w:t>
      </w:r>
      <w:r>
        <w:rPr>
          <w:rFonts w:ascii="Times New Roman" w:hAnsi="Times New Roman" w:eastAsia="Times New Roman" w:cs="Times New Roman"/>
          <w:b w:val="0"/>
          <w:i w:val="0"/>
          <w:color w:val="000000"/>
          <w:sz w:val="24"/>
        </w:rPr>
        <w:t>, 1, 16048. DOI: 10.1038/nmicrobiol.2016.48</w:t>
      </w:r>
    </w:p>
    <w:p>
      <w:pPr>
        <w:spacing w:after="120" w:line="360" w:lineRule="auto"/>
      </w:pPr>
      <w:r>
        <w:rPr>
          <w:rFonts w:ascii="Times New Roman" w:hAnsi="Times New Roman" w:eastAsia="Times New Roman" w:cs="Times New Roman"/>
          <w:b w:val="0"/>
          <w:i w:val="0"/>
          <w:color w:val="000000"/>
          <w:sz w:val="24"/>
        </w:rPr>
        <w:t xml:space="preserve">3. Warnow, T. (1994) Some combinatorial optimization problems in phylogenetic tree reconstruction. </w:t>
      </w:r>
      <w:r>
        <w:rPr>
          <w:rFonts w:ascii="Times New Roman" w:hAnsi="Times New Roman" w:eastAsia="Times New Roman" w:cs="Times New Roman"/>
          <w:b w:val="0"/>
          <w:i/>
          <w:color w:val="000000"/>
          <w:sz w:val="24"/>
        </w:rPr>
        <w:t>DIMACS Technical Report</w:t>
      </w:r>
      <w:r>
        <w:rPr>
          <w:rFonts w:ascii="Times New Roman" w:hAnsi="Times New Roman" w:eastAsia="Times New Roman" w:cs="Times New Roman"/>
          <w:b w:val="0"/>
          <w:i w:val="0"/>
          <w:color w:val="000000"/>
          <w:sz w:val="24"/>
        </w:rPr>
        <w:t>, 94-53. [Technical report; DOI not available.]</w:t>
      </w:r>
    </w:p>
    <w:p>
      <w:pPr>
        <w:spacing w:after="120" w:line="360" w:lineRule="auto"/>
      </w:pPr>
      <w:r>
        <w:rPr>
          <w:rFonts w:ascii="Times New Roman" w:hAnsi="Times New Roman" w:eastAsia="Times New Roman" w:cs="Times New Roman"/>
          <w:b w:val="0"/>
          <w:i w:val="0"/>
          <w:color w:val="000000"/>
          <w:sz w:val="24"/>
        </w:rPr>
        <w:t xml:space="preserve">4. Dessimoz, C. and Gil, M. (2010) Phylogenetic assessment of alignments reveals neglected tree signal in gaps.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11, R37. DOI: 10.1186/gb-2010-11-4-r37</w:t>
      </w:r>
    </w:p>
    <w:p>
      <w:pPr>
        <w:spacing w:after="120" w:line="360" w:lineRule="auto"/>
      </w:pPr>
      <w:r>
        <w:rPr>
          <w:rFonts w:ascii="Times New Roman" w:hAnsi="Times New Roman" w:eastAsia="Times New Roman" w:cs="Times New Roman"/>
          <w:b w:val="0"/>
          <w:i w:val="0"/>
          <w:color w:val="000000"/>
          <w:sz w:val="24"/>
        </w:rPr>
        <w:t xml:space="preserve">5. Wong, K.M., Suchard, M.A. and Huelsenbeck, J.P. (2008) Alignment uncertainty and genomic analysis. </w:t>
      </w:r>
      <w:r>
        <w:rPr>
          <w:rFonts w:ascii="Times New Roman" w:hAnsi="Times New Roman" w:eastAsia="Times New Roman" w:cs="Times New Roman"/>
          <w:b w:val="0"/>
          <w:i/>
          <w:color w:val="000000"/>
          <w:sz w:val="24"/>
        </w:rPr>
        <w:t>Science</w:t>
      </w:r>
      <w:r>
        <w:rPr>
          <w:rFonts w:ascii="Times New Roman" w:hAnsi="Times New Roman" w:eastAsia="Times New Roman" w:cs="Times New Roman"/>
          <w:b w:val="0"/>
          <w:i w:val="0"/>
          <w:color w:val="000000"/>
          <w:sz w:val="24"/>
        </w:rPr>
        <w:t>, 319, 473–476. DOI: 10.1126/science.1151532</w:t>
      </w:r>
    </w:p>
    <w:p>
      <w:pPr>
        <w:spacing w:after="120" w:line="360" w:lineRule="auto"/>
      </w:pPr>
      <w:r>
        <w:rPr>
          <w:rFonts w:ascii="Times New Roman" w:hAnsi="Times New Roman" w:eastAsia="Times New Roman" w:cs="Times New Roman"/>
          <w:b w:val="0"/>
          <w:i w:val="0"/>
          <w:color w:val="000000"/>
          <w:sz w:val="24"/>
        </w:rPr>
        <w:t xml:space="preserve">6. Wang, Z., Sun, J., Gao, Y., Xue, Y., Zhang, Y., Li, K., Zhang, W., Zhang, C., Zu, J. and Zhang, L. (2023) Fusang: a framework for phylogenetic tree inference via deep learning. </w:t>
      </w:r>
      <w:r>
        <w:rPr>
          <w:rFonts w:ascii="Times New Roman" w:hAnsi="Times New Roman" w:eastAsia="Times New Roman" w:cs="Times New Roman"/>
          <w:b w:val="0"/>
          <w:i/>
          <w:color w:val="000000"/>
          <w:sz w:val="24"/>
        </w:rPr>
        <w:t>Nucleic Acids Res.</w:t>
      </w:r>
      <w:r>
        <w:rPr>
          <w:rFonts w:ascii="Times New Roman" w:hAnsi="Times New Roman" w:eastAsia="Times New Roman" w:cs="Times New Roman"/>
          <w:b w:val="0"/>
          <w:i w:val="0"/>
          <w:color w:val="000000"/>
          <w:sz w:val="24"/>
        </w:rPr>
        <w:t>, 51, 10909–10923. DOI: 10.1093/nar/gkad805</w:t>
      </w:r>
    </w:p>
    <w:p>
      <w:pPr>
        <w:spacing w:after="120" w:line="360" w:lineRule="auto"/>
      </w:pPr>
      <w:r>
        <w:rPr>
          <w:rFonts w:ascii="Times New Roman" w:hAnsi="Times New Roman" w:eastAsia="Times New Roman" w:cs="Times New Roman"/>
          <w:b w:val="0"/>
          <w:i w:val="0"/>
          <w:color w:val="000000"/>
          <w:sz w:val="24"/>
        </w:rPr>
        <w:t xml:space="preserve">7. Morgenstern, B., Zhu, B., Horwege, S. and Leimeister, C.-A. (2015) Estimating evolutionary distances between genomic sequences from spaced-word matches. </w:t>
      </w:r>
      <w:r>
        <w:rPr>
          <w:rFonts w:ascii="Times New Roman" w:hAnsi="Times New Roman" w:eastAsia="Times New Roman" w:cs="Times New Roman"/>
          <w:b w:val="0"/>
          <w:i/>
          <w:color w:val="000000"/>
          <w:sz w:val="24"/>
        </w:rPr>
        <w:t>Algorithms Mol. Biol.</w:t>
      </w:r>
      <w:r>
        <w:rPr>
          <w:rFonts w:ascii="Times New Roman" w:hAnsi="Times New Roman" w:eastAsia="Times New Roman" w:cs="Times New Roman"/>
          <w:b w:val="0"/>
          <w:i w:val="0"/>
          <w:color w:val="000000"/>
          <w:sz w:val="24"/>
        </w:rPr>
        <w:t>, 10, 5. DOI: 10.1186/s13015-015-0032-x</w:t>
      </w:r>
    </w:p>
    <w:p>
      <w:pPr>
        <w:spacing w:after="120" w:line="360" w:lineRule="auto"/>
      </w:pPr>
      <w:r>
        <w:rPr>
          <w:rFonts w:ascii="Times New Roman" w:hAnsi="Times New Roman" w:eastAsia="Times New Roman" w:cs="Times New Roman"/>
          <w:b w:val="0"/>
          <w:i w:val="0"/>
          <w:color w:val="000000"/>
          <w:sz w:val="24"/>
        </w:rPr>
        <w:t xml:space="preserve">8. Diaz, N.N., Krause, L., Goesmann, A., Niehaus, K. and Nattkemper, T.W. (2009) TACOA: taxonomic classification of environmental genomic fragments using a kernelized nearest neighbor approach. </w:t>
      </w:r>
      <w:r>
        <w:rPr>
          <w:rFonts w:ascii="Times New Roman" w:hAnsi="Times New Roman" w:eastAsia="Times New Roman" w:cs="Times New Roman"/>
          <w:b w:val="0"/>
          <w:i/>
          <w:color w:val="000000"/>
          <w:sz w:val="24"/>
        </w:rPr>
        <w:t>BMC Bioinformatics</w:t>
      </w:r>
      <w:r>
        <w:rPr>
          <w:rFonts w:ascii="Times New Roman" w:hAnsi="Times New Roman" w:eastAsia="Times New Roman" w:cs="Times New Roman"/>
          <w:b w:val="0"/>
          <w:i w:val="0"/>
          <w:color w:val="000000"/>
          <w:sz w:val="24"/>
        </w:rPr>
        <w:t>, 10, 56. DOI: 10.1186/1471-2105-10-56</w:t>
      </w:r>
    </w:p>
    <w:p>
      <w:pPr>
        <w:spacing w:after="120" w:line="360" w:lineRule="auto"/>
      </w:pPr>
      <w:r>
        <w:rPr>
          <w:rFonts w:ascii="Times New Roman" w:hAnsi="Times New Roman" w:eastAsia="Times New Roman" w:cs="Times New Roman"/>
          <w:b w:val="0"/>
          <w:i w:val="0"/>
          <w:color w:val="000000"/>
          <w:sz w:val="24"/>
        </w:rPr>
        <w:t xml:space="preserve">9. Vinga, S. and Almeida, J. (2003) Alignment-free sequence comparison — a review.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19, 513–523. DOI: 10.1093/bioinformatics/btg005</w:t>
      </w:r>
    </w:p>
    <w:p>
      <w:pPr>
        <w:spacing w:after="120" w:line="360" w:lineRule="auto"/>
      </w:pPr>
      <w:r>
        <w:rPr>
          <w:rFonts w:ascii="Times New Roman" w:hAnsi="Times New Roman" w:eastAsia="Times New Roman" w:cs="Times New Roman"/>
          <w:b w:val="0"/>
          <w:i w:val="0"/>
          <w:color w:val="000000"/>
          <w:sz w:val="24"/>
        </w:rPr>
        <w:t xml:space="preserve">10. Zielezinski, A., Vinga, S., Almeida, J. and Karlowski, W.M. (2017) Alignment-free sequence comparison: benefits, applications, and tools.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18, 186. DOI: 10.1186/s13059-017-1319-7</w:t>
      </w:r>
    </w:p>
    <w:p>
      <w:pPr>
        <w:spacing w:after="120" w:line="360" w:lineRule="auto"/>
      </w:pPr>
      <w:r>
        <w:rPr>
          <w:rFonts w:ascii="Times New Roman" w:hAnsi="Times New Roman" w:eastAsia="Times New Roman" w:cs="Times New Roman"/>
          <w:b w:val="0"/>
          <w:i w:val="0"/>
          <w:color w:val="000000"/>
          <w:sz w:val="24"/>
        </w:rPr>
        <w:t xml:space="preserve">11. Bernard, G., Chan, C.X., Chan, Y.-b., Chua, X.Y., Cong, Y., Hogan, J.M., Maetschke, S.R. and Ragan, M.A. (2019) Alignment-free inference of hierarchical and reticulate phylogenomic relationships. </w:t>
      </w:r>
      <w:r>
        <w:rPr>
          <w:rFonts w:ascii="Times New Roman" w:hAnsi="Times New Roman" w:eastAsia="Times New Roman" w:cs="Times New Roman"/>
          <w:b w:val="0"/>
          <w:i/>
          <w:color w:val="000000"/>
          <w:sz w:val="24"/>
        </w:rPr>
        <w:t>Brief. Bioinform.</w:t>
      </w:r>
      <w:r>
        <w:rPr>
          <w:rFonts w:ascii="Times New Roman" w:hAnsi="Times New Roman" w:eastAsia="Times New Roman" w:cs="Times New Roman"/>
          <w:b w:val="0"/>
          <w:i w:val="0"/>
          <w:color w:val="000000"/>
          <w:sz w:val="24"/>
        </w:rPr>
        <w:t>, 20, 426–435. DOI: 10.1093/bib/bbx067</w:t>
      </w:r>
    </w:p>
    <w:p>
      <w:pPr>
        <w:spacing w:after="120" w:line="360" w:lineRule="auto"/>
      </w:pPr>
      <w:r>
        <w:rPr>
          <w:rFonts w:ascii="Times New Roman" w:hAnsi="Times New Roman" w:eastAsia="Times New Roman" w:cs="Times New Roman"/>
          <w:b w:val="0"/>
          <w:i w:val="0"/>
          <w:color w:val="000000"/>
          <w:sz w:val="24"/>
        </w:rPr>
        <w:t xml:space="preserve">12. Leimeister, C.-A. and Morgenstern, B. (2014) kmacs: the k-mismatch average common substring approach to alignment-free sequence comparison.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30, 2000–2008. DOI: 10.1093/bioinformatics/btu331</w:t>
      </w:r>
    </w:p>
    <w:p>
      <w:pPr>
        <w:spacing w:after="120" w:line="360" w:lineRule="auto"/>
      </w:pPr>
      <w:r>
        <w:rPr>
          <w:rFonts w:ascii="Times New Roman" w:hAnsi="Times New Roman" w:eastAsia="Times New Roman" w:cs="Times New Roman"/>
          <w:b w:val="0"/>
          <w:i w:val="0"/>
          <w:color w:val="000000"/>
          <w:sz w:val="24"/>
        </w:rPr>
        <w:t xml:space="preserve">13. Leimeister, C.-A., Boden, M., Horwege, S., Lindner, S. and Morgenstern, B. (2014) Fast alignment-free sequence comparison using spaced-word frequencies.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30, 1991–1999. DOI: 10.1093/bioinformatics/btu177</w:t>
      </w:r>
    </w:p>
    <w:p>
      <w:pPr>
        <w:spacing w:after="120" w:line="360" w:lineRule="auto"/>
      </w:pPr>
      <w:r>
        <w:rPr>
          <w:rFonts w:ascii="Times New Roman" w:hAnsi="Times New Roman" w:eastAsia="Times New Roman" w:cs="Times New Roman"/>
          <w:b w:val="0"/>
          <w:i w:val="0"/>
          <w:color w:val="000000"/>
          <w:sz w:val="24"/>
        </w:rPr>
        <w:t xml:space="preserve">14. Zielezinski, A. et al. (2019) Benchmarking of alignment-free sequence comparison methods.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20, 144. DOI: 10.1186/s13059-019-1755-7</w:t>
      </w:r>
    </w:p>
    <w:p>
      <w:pPr>
        <w:spacing w:after="120" w:line="360" w:lineRule="auto"/>
      </w:pPr>
      <w:r>
        <w:rPr>
          <w:rFonts w:ascii="Times New Roman" w:hAnsi="Times New Roman" w:eastAsia="Times New Roman" w:cs="Times New Roman"/>
          <w:b w:val="0"/>
          <w:i w:val="0"/>
          <w:color w:val="000000"/>
          <w:sz w:val="24"/>
        </w:rPr>
        <w:t xml:space="preserve">15. Huson, D.H., Nettles, S.M. and Warnow, T.J. (1999) Disk-covering, a fast-converging method for phylogenetic tree reconstruction. </w:t>
      </w:r>
      <w:r>
        <w:rPr>
          <w:rFonts w:ascii="Times New Roman" w:hAnsi="Times New Roman" w:eastAsia="Times New Roman" w:cs="Times New Roman"/>
          <w:b w:val="0"/>
          <w:i/>
          <w:color w:val="000000"/>
          <w:sz w:val="24"/>
        </w:rPr>
        <w:t>J. Comput. Biol.</w:t>
      </w:r>
      <w:r>
        <w:rPr>
          <w:rFonts w:ascii="Times New Roman" w:hAnsi="Times New Roman" w:eastAsia="Times New Roman" w:cs="Times New Roman"/>
          <w:b w:val="0"/>
          <w:i w:val="0"/>
          <w:color w:val="000000"/>
          <w:sz w:val="24"/>
        </w:rPr>
        <w:t>, 6, 369–386. DOI: 10.1089/106652799318337</w:t>
      </w:r>
    </w:p>
    <w:p>
      <w:pPr>
        <w:spacing w:after="120" w:line="360" w:lineRule="auto"/>
      </w:pPr>
      <w:r>
        <w:rPr>
          <w:rFonts w:ascii="Times New Roman" w:hAnsi="Times New Roman" w:eastAsia="Times New Roman" w:cs="Times New Roman"/>
          <w:b w:val="0"/>
          <w:i w:val="0"/>
          <w:color w:val="000000"/>
          <w:sz w:val="24"/>
        </w:rPr>
        <w:t xml:space="preserve">16. Berger, S.A., Krompass, D. and Stamatakis, A. (2011) Performance, accuracy, and web server for evolutionary placement of short sequence reads under maximum likelihood. </w:t>
      </w:r>
      <w:r>
        <w:rPr>
          <w:rFonts w:ascii="Times New Roman" w:hAnsi="Times New Roman" w:eastAsia="Times New Roman" w:cs="Times New Roman"/>
          <w:b w:val="0"/>
          <w:i/>
          <w:color w:val="000000"/>
          <w:sz w:val="24"/>
        </w:rPr>
        <w:t>Syst. Biol.</w:t>
      </w:r>
      <w:r>
        <w:rPr>
          <w:rFonts w:ascii="Times New Roman" w:hAnsi="Times New Roman" w:eastAsia="Times New Roman" w:cs="Times New Roman"/>
          <w:b w:val="0"/>
          <w:i w:val="0"/>
          <w:color w:val="000000"/>
          <w:sz w:val="24"/>
        </w:rPr>
        <w:t>, 60, 291–302. DOI: 10.1093/sysbio/syr010</w:t>
      </w:r>
    </w:p>
    <w:p>
      <w:pPr>
        <w:spacing w:after="120" w:line="360" w:lineRule="auto"/>
      </w:pPr>
      <w:r>
        <w:rPr>
          <w:rFonts w:ascii="Times New Roman" w:hAnsi="Times New Roman" w:eastAsia="Times New Roman" w:cs="Times New Roman"/>
          <w:b w:val="0"/>
          <w:i w:val="0"/>
          <w:color w:val="000000"/>
          <w:sz w:val="24"/>
        </w:rPr>
        <w:t xml:space="preserve">17. Lefort, V., Desper, R. and Gascuel, O. (2015) FastME 2.0: a comprehensive, accurate, and fast distance-based phylogeny inference program.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32, 2798–2800. DOI: 10.1093/molbev/msv150</w:t>
      </w:r>
    </w:p>
    <w:p>
      <w:pPr>
        <w:spacing w:after="120" w:line="360" w:lineRule="auto"/>
      </w:pPr>
      <w:r>
        <w:rPr>
          <w:rFonts w:ascii="Times New Roman" w:hAnsi="Times New Roman" w:eastAsia="Times New Roman" w:cs="Times New Roman"/>
          <w:b w:val="0"/>
          <w:i w:val="0"/>
          <w:color w:val="000000"/>
          <w:sz w:val="24"/>
        </w:rPr>
        <w:t xml:space="preserve">18. Gascuel, O. (1997) BIONJ: an improved version of the NJ algorithm based on a simple model of sequence data.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14, 685–695. DOI: 10.1093/oxfordjournals.molbev.a025808</w:t>
      </w:r>
    </w:p>
    <w:p>
      <w:pPr>
        <w:spacing w:after="120" w:line="360" w:lineRule="auto"/>
      </w:pPr>
      <w:r>
        <w:rPr>
          <w:rFonts w:ascii="Times New Roman" w:hAnsi="Times New Roman" w:eastAsia="Times New Roman" w:cs="Times New Roman"/>
          <w:b w:val="0"/>
          <w:i w:val="0"/>
          <w:color w:val="000000"/>
          <w:sz w:val="24"/>
        </w:rPr>
        <w:t xml:space="preserve">19. Fletcher, W. and Yang, Z. (2009) INDELible: a flexible simulator of biological sequence evolution.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26, 1879–1888. DOI: 10.1093/molbev/msp098</w:t>
      </w:r>
    </w:p>
    <w:p>
      <w:pPr>
        <w:spacing w:after="120" w:line="360" w:lineRule="auto"/>
      </w:pPr>
      <w:r>
        <w:rPr>
          <w:rFonts w:ascii="Times New Roman" w:hAnsi="Times New Roman" w:eastAsia="Times New Roman" w:cs="Times New Roman"/>
          <w:b w:val="0"/>
          <w:i w:val="0"/>
          <w:color w:val="000000"/>
          <w:sz w:val="24"/>
        </w:rPr>
        <w:t xml:space="preserve">20. Price, M.N., Dehal, P.S. and Arkin, A.P. (2010) FastTree 2 — approximately maximum-likelihood trees for large alignments. </w:t>
      </w:r>
      <w:r>
        <w:rPr>
          <w:rFonts w:ascii="Times New Roman" w:hAnsi="Times New Roman" w:eastAsia="Times New Roman" w:cs="Times New Roman"/>
          <w:b w:val="0"/>
          <w:i/>
          <w:color w:val="000000"/>
          <w:sz w:val="24"/>
        </w:rPr>
        <w:t>PLoS ONE</w:t>
      </w:r>
      <w:r>
        <w:rPr>
          <w:rFonts w:ascii="Times New Roman" w:hAnsi="Times New Roman" w:eastAsia="Times New Roman" w:cs="Times New Roman"/>
          <w:b w:val="0"/>
          <w:i w:val="0"/>
          <w:color w:val="000000"/>
          <w:sz w:val="24"/>
        </w:rPr>
        <w:t>, 5, e9490. DOI: 10.1371/journal.pone.0009490</w:t>
      </w:r>
    </w:p>
    <w:p>
      <w:pPr>
        <w:spacing w:after="120" w:line="360" w:lineRule="auto"/>
      </w:pPr>
      <w:r>
        <w:rPr>
          <w:rFonts w:ascii="Times New Roman" w:hAnsi="Times New Roman" w:eastAsia="Times New Roman" w:cs="Times New Roman"/>
          <w:b w:val="0"/>
          <w:i w:val="0"/>
          <w:color w:val="000000"/>
          <w:sz w:val="24"/>
        </w:rPr>
        <w:t xml:space="preserve">21. Katoh, K. and Standley, D.M. (2013) MAFFT multiple sequence alignment software version 7: improvements in performance and versatility.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30, 772–780. DOI: 10.1093/molbev/mst010</w:t>
      </w:r>
    </w:p>
    <w:p>
      <w:pPr>
        <w:spacing w:after="120" w:line="360" w:lineRule="auto"/>
      </w:pPr>
      <w:r>
        <w:rPr>
          <w:rFonts w:ascii="Times New Roman" w:hAnsi="Times New Roman" w:eastAsia="Times New Roman" w:cs="Times New Roman"/>
          <w:b w:val="0"/>
          <w:i w:val="0"/>
          <w:color w:val="000000"/>
          <w:sz w:val="24"/>
        </w:rPr>
        <w:t xml:space="preserve">22. Kozlov, A.M., Darriba, D., Flouri, T., Morel, B. and Stamatakis, A. (2019) RAxML-NG: a fast, scalable and user-friendly tool for maximum likelihood phylogenetic inference.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35, 4453–4455. DOI: 10.1093/bioinformatics/btz305</w:t>
      </w:r>
    </w:p>
    <w:p>
      <w:pPr>
        <w:spacing w:after="120" w:line="360" w:lineRule="auto"/>
      </w:pPr>
      <w:r>
        <w:rPr>
          <w:rFonts w:ascii="Times New Roman" w:hAnsi="Times New Roman" w:eastAsia="Times New Roman" w:cs="Times New Roman"/>
          <w:b w:val="0"/>
          <w:i w:val="0"/>
          <w:color w:val="000000"/>
          <w:sz w:val="24"/>
        </w:rPr>
        <w:t xml:space="preserve">23. Minh, B.Q., Schmidt, H.A., Chernomor, O., Schrempf, D., Woodhams, M.D., von Haeseler, A. and Lanfear, R. (2020) IQ-TREE 2: new models and efficient methods for phylogenetic inference in the genomic era.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37, 1530–1534. DOI: 10.1093/molbev/msaa015</w:t>
      </w:r>
    </w:p>
    <w:p>
      <w:pPr>
        <w:spacing w:after="120" w:line="360" w:lineRule="auto"/>
      </w:pPr>
      <w:r>
        <w:rPr>
          <w:rFonts w:ascii="Times New Roman" w:hAnsi="Times New Roman" w:eastAsia="Times New Roman" w:cs="Times New Roman"/>
          <w:b w:val="0"/>
          <w:i w:val="0"/>
          <w:color w:val="000000"/>
          <w:sz w:val="24"/>
        </w:rPr>
        <w:t xml:space="preserve">24. Ondov, B.D., Treangen, T.J., Melsted, P., Mallonee, A.B., Bergman, N.H., Koren, S. and Phillippy, A.M. (2016) Mash: fast genome and metagenome distance estimation using MinHash.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17, 132. DOI: 10.1186/s13059-016-0997-x</w:t>
      </w:r>
    </w:p>
    <w:p>
      <w:pPr>
        <w:spacing w:after="120" w:line="360" w:lineRule="auto"/>
      </w:pPr>
      <w:r>
        <w:rPr>
          <w:rFonts w:ascii="Times New Roman" w:hAnsi="Times New Roman" w:eastAsia="Times New Roman" w:cs="Times New Roman"/>
          <w:b w:val="0"/>
          <w:i w:val="0"/>
          <w:color w:val="000000"/>
          <w:sz w:val="24"/>
        </w:rPr>
        <w:t xml:space="preserve">25. Haubold, B., Klötzl, F. and Pfaffelhuber, P. (2015) andi: Fast and accurate estimation of evolutionary distances between closely related genomes.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31, 1169–1175. DOI: 10.1093/bioinformatics/btu815</w:t>
      </w:r>
    </w:p>
    <w:p>
      <w:pPr>
        <w:spacing w:after="120" w:line="360" w:lineRule="auto"/>
      </w:pPr>
      <w:r>
        <w:rPr>
          <w:rFonts w:ascii="Times New Roman" w:hAnsi="Times New Roman" w:eastAsia="Times New Roman" w:cs="Times New Roman"/>
          <w:b w:val="0"/>
          <w:i w:val="0"/>
          <w:color w:val="000000"/>
          <w:sz w:val="24"/>
        </w:rPr>
        <w:t xml:space="preserve">26. Yi, H. and Jin, L. (2013) Co-phylog: an assembly-free phylogenomic approach for closely related organisms. </w:t>
      </w:r>
      <w:r>
        <w:rPr>
          <w:rFonts w:ascii="Times New Roman" w:hAnsi="Times New Roman" w:eastAsia="Times New Roman" w:cs="Times New Roman"/>
          <w:b w:val="0"/>
          <w:i/>
          <w:color w:val="000000"/>
          <w:sz w:val="24"/>
        </w:rPr>
        <w:t>Nucleic Acids Res.</w:t>
      </w:r>
      <w:r>
        <w:rPr>
          <w:rFonts w:ascii="Times New Roman" w:hAnsi="Times New Roman" w:eastAsia="Times New Roman" w:cs="Times New Roman"/>
          <w:b w:val="0"/>
          <w:i w:val="0"/>
          <w:color w:val="000000"/>
          <w:sz w:val="24"/>
        </w:rPr>
        <w:t>, 41, e75. DOI: 10.1093/nar/gkt003</w:t>
      </w:r>
    </w:p>
    <w:p>
      <w:pPr>
        <w:spacing w:after="120" w:line="360" w:lineRule="auto"/>
      </w:pPr>
      <w:r>
        <w:rPr>
          <w:rFonts w:ascii="Times New Roman" w:hAnsi="Times New Roman" w:eastAsia="Times New Roman" w:cs="Times New Roman"/>
          <w:b w:val="0"/>
          <w:i w:val="0"/>
          <w:color w:val="000000"/>
          <w:sz w:val="24"/>
        </w:rPr>
        <w:t xml:space="preserve">27. Lunter, G., Miklós, I., Drummond, A., Jensen, J.L. and Hein, J. (2005) Bayesian coestimation of phylogeny and sequence alignment. </w:t>
      </w:r>
      <w:r>
        <w:rPr>
          <w:rFonts w:ascii="Times New Roman" w:hAnsi="Times New Roman" w:eastAsia="Times New Roman" w:cs="Times New Roman"/>
          <w:b w:val="0"/>
          <w:i/>
          <w:color w:val="000000"/>
          <w:sz w:val="24"/>
        </w:rPr>
        <w:t>BMC Bioinformatics</w:t>
      </w:r>
      <w:r>
        <w:rPr>
          <w:rFonts w:ascii="Times New Roman" w:hAnsi="Times New Roman" w:eastAsia="Times New Roman" w:cs="Times New Roman"/>
          <w:b w:val="0"/>
          <w:i w:val="0"/>
          <w:color w:val="000000"/>
          <w:sz w:val="24"/>
        </w:rPr>
        <w:t>, 6, 83. DOI: 10.1186/1471-2105-6-83</w:t>
      </w:r>
    </w:p>
    <w:p>
      <w:pPr>
        <w:spacing w:after="120" w:line="360" w:lineRule="auto"/>
      </w:pPr>
      <w:r>
        <w:rPr>
          <w:rFonts w:ascii="Times New Roman" w:hAnsi="Times New Roman" w:eastAsia="Times New Roman" w:cs="Times New Roman"/>
          <w:b w:val="0"/>
          <w:i w:val="0"/>
          <w:color w:val="000000"/>
          <w:sz w:val="24"/>
        </w:rPr>
        <w:t xml:space="preserve">28. Cartwright, R.A. (2009) Problems and solutions for estimating indel rates and length distributions. </w:t>
      </w:r>
      <w:r>
        <w:rPr>
          <w:rFonts w:ascii="Times New Roman" w:hAnsi="Times New Roman" w:eastAsia="Times New Roman" w:cs="Times New Roman"/>
          <w:b w:val="0"/>
          <w:i/>
          <w:color w:val="000000"/>
          <w:sz w:val="24"/>
        </w:rPr>
        <w:t>Mol. Biol. Evol.</w:t>
      </w:r>
      <w:r>
        <w:rPr>
          <w:rFonts w:ascii="Times New Roman" w:hAnsi="Times New Roman" w:eastAsia="Times New Roman" w:cs="Times New Roman"/>
          <w:b w:val="0"/>
          <w:i w:val="0"/>
          <w:color w:val="000000"/>
          <w:sz w:val="24"/>
        </w:rPr>
        <w:t>, 26, 473–480. DOI: 10.1093/molbev/msn275</w:t>
      </w:r>
    </w:p>
    <w:p>
      <w:pPr>
        <w:spacing w:after="120" w:line="360" w:lineRule="auto"/>
      </w:pPr>
      <w:r>
        <w:rPr>
          <w:rFonts w:ascii="Times New Roman" w:hAnsi="Times New Roman" w:eastAsia="Times New Roman" w:cs="Times New Roman"/>
          <w:b w:val="0"/>
          <w:i w:val="0"/>
          <w:color w:val="000000"/>
          <w:sz w:val="24"/>
        </w:rPr>
        <w:t xml:space="preserve">29. Sarmashghi, S., Bohmann, K., Gilbert, M.T.P., Bafna, V. and Mirarab, S. (2019) Skmer: assembly-free and alignment-free sample identification using genome skims. </w:t>
      </w:r>
      <w:r>
        <w:rPr>
          <w:rFonts w:ascii="Times New Roman" w:hAnsi="Times New Roman" w:eastAsia="Times New Roman" w:cs="Times New Roman"/>
          <w:b w:val="0"/>
          <w:i/>
          <w:color w:val="000000"/>
          <w:sz w:val="24"/>
        </w:rPr>
        <w:t>Genome Biol.</w:t>
      </w:r>
      <w:r>
        <w:rPr>
          <w:rFonts w:ascii="Times New Roman" w:hAnsi="Times New Roman" w:eastAsia="Times New Roman" w:cs="Times New Roman"/>
          <w:b w:val="0"/>
          <w:i w:val="0"/>
          <w:color w:val="000000"/>
          <w:sz w:val="24"/>
        </w:rPr>
        <w:t>, 20, 34. DOI: 10.1186/s13059-019-1632-4</w:t>
      </w:r>
    </w:p>
    <w:p>
      <w:pPr>
        <w:spacing w:after="120" w:line="360" w:lineRule="auto"/>
      </w:pPr>
      <w:r>
        <w:rPr>
          <w:rFonts w:ascii="Times New Roman" w:hAnsi="Times New Roman" w:eastAsia="Times New Roman" w:cs="Times New Roman"/>
          <w:b w:val="0"/>
          <w:i w:val="0"/>
          <w:color w:val="000000"/>
          <w:sz w:val="24"/>
        </w:rPr>
        <w:t xml:space="preserve">30. Ma, B., Tromp, J. and Li, M. (2002) PatternHunter: faster and more sensitive homology search. </w:t>
      </w:r>
      <w:r>
        <w:rPr>
          <w:rFonts w:ascii="Times New Roman" w:hAnsi="Times New Roman" w:eastAsia="Times New Roman" w:cs="Times New Roman"/>
          <w:b w:val="0"/>
          <w:i/>
          <w:color w:val="000000"/>
          <w:sz w:val="24"/>
        </w:rPr>
        <w:t>Bioinformatics</w:t>
      </w:r>
      <w:r>
        <w:rPr>
          <w:rFonts w:ascii="Times New Roman" w:hAnsi="Times New Roman" w:eastAsia="Times New Roman" w:cs="Times New Roman"/>
          <w:b w:val="0"/>
          <w:i w:val="0"/>
          <w:color w:val="000000"/>
          <w:sz w:val="24"/>
        </w:rPr>
        <w:t>, 18, 440–445. DOI: 10.1093/bioinformatics/18.3.440</w:t>
      </w:r>
    </w:p>
    <w:p>
      <w:pPr>
        <w:spacing w:after="120" w:line="360" w:lineRule="auto"/>
      </w:pPr>
      <w:r>
        <w:rPr>
          <w:rFonts w:ascii="Times New Roman" w:hAnsi="Times New Roman" w:eastAsia="Times New Roman" w:cs="Times New Roman"/>
          <w:b w:val="0"/>
          <w:i w:val="0"/>
          <w:color w:val="000000"/>
          <w:sz w:val="24"/>
        </w:rPr>
        <w:t xml:space="preserve">31. Sims, G.E., Jun, S.R., Wu, G.A. and Kim, S.H. (2009) Alignment-free genome comparison with feature frequency profiles (FFP) and optimal resolutions. </w:t>
      </w:r>
      <w:r>
        <w:rPr>
          <w:rFonts w:ascii="Times New Roman" w:hAnsi="Times New Roman" w:eastAsia="Times New Roman" w:cs="Times New Roman"/>
          <w:b w:val="0"/>
          <w:i/>
          <w:color w:val="000000"/>
          <w:sz w:val="24"/>
        </w:rPr>
        <w:t>Proc. Natl. Acad. Sci. USA</w:t>
      </w:r>
      <w:r>
        <w:rPr>
          <w:rFonts w:ascii="Times New Roman" w:hAnsi="Times New Roman" w:eastAsia="Times New Roman" w:cs="Times New Roman"/>
          <w:b w:val="0"/>
          <w:i w:val="0"/>
          <w:color w:val="000000"/>
          <w:sz w:val="24"/>
        </w:rPr>
        <w:t>, 106, 2677–2682. DOI: 10.1073/pnas.0813249106</w:t>
      </w:r>
    </w:p>
    <w:p>
      <w:pPr>
        <w:spacing w:after="120" w:line="360" w:lineRule="auto"/>
      </w:pPr>
      <w:r>
        <w:rPr>
          <w:rFonts w:ascii="Times New Roman" w:hAnsi="Times New Roman" w:eastAsia="Times New Roman" w:cs="Times New Roman"/>
          <w:b w:val="0"/>
          <w:i/>
          <w:color w:val="000000"/>
          <w:sz w:val="24"/>
        </w:rPr>
        <w:t>Manuscript prepared for Nucleic Acids Research. Main text: approximately 12,000 words.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Fusang: Tardigrade Edition - K-mer Frequency Vector Alignment-Free Phylogenetic Inference Resilient to Indel-Rich Sequence Evolution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