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1"/>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1"/>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1"/>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p>
      <w:pPr>
        <w:pStyle w:val="FirstParagraph"/>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2"/>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2"/>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3"/>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3"/>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3"/>
        </w:numPr>
      </w:pPr>
      <w:r>
        <w:rPr>
          <w:b/>
          <w:bCs/>
        </w:rPr>
        <w:t xml:space="preserve">Simple k-mer cosine distances achieve accuracy statistically indistinguishable from spaced k-mers.</w:t>
      </w:r>
      <w:r>
        <w:t xml:space="preserve"> </w:t>
      </w:r>
      <w:r>
        <w:t xml:space="preserve">Standard contiguous k-mer cosine distance (k=5 or k=7) achieves nRF≈0.10–0.11, statistically indistinguishable from Fusang’s spaced k-mer configuration (k=5: 0.104 vs 0.108, p=0.26, paired d=−0.21). This indicates that at the tested indel rate (0.02), the spaced k-mer gap pattern provides no measurable advantage over contiguous k-mers on this DNA benchmark — consistent with the protein-domain result (p=0.31; see Cross-domain validation below). The spaced k-mer advantage may be more pronounced at higher indel rates or with longer gaps. On this 27-seed competitor seed set the multi-k ensemble is likewise statistically indistinguishable from the default spaced configuration (0.111 vs 0.108, p=0.30); the ensemble’s significant improvement over the default is established on the pre-specified 30-seed benchmark (Table 4, seed set 230–259, p=0.006).</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4"/>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4"/>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4"/>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p>
      <w:pPr>
        <w:pStyle w:val="FirstParagraph"/>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2026-10-09T06:38:48Z</dcterms:created>
  <dcterms:modified xsi:type="dcterms:W3CDTF">2026-10-09T06:38:48Z</dcterms:modified>
</cp:coreProperties>
</file>

<file path=docProps/custom.xml><?xml version="1.0" encoding="utf-8"?>
<Properties xmlns="http://schemas.openxmlformats.org/officeDocument/2006/custom-properties" xmlns:vt="http://schemas.openxmlformats.org/officeDocument/2006/docPropsVTypes"/>
</file>