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Table 1. Accuracy on clean and indel-rich data (L=500 bp, μ=0.05, 30 seeds per condition, seed set 70–99). All nRF values are TRUE-relative (vs simulated ground-truth tree) except where noted.</w:t>
      </w:r>
    </w:p>
    <w:tbl>
      <w:tblPr>
        <w:tblStyle w:val="Table"/>
        <w:tblW w:type="pct" w:w="5000"/>
        <w:tblLayout w:type="fixed"/>
        <w:tblLook w:firstRow="1" w:lastRow="0" w:firstColumn="0" w:lastColumn="0" w:noHBand="0" w:noVBand="0" w:val="0020"/>
      </w:tblPr>
      <w:tblGrid>
        <w:gridCol w:w="308"/>
        <w:gridCol w:w="1131"/>
        <w:gridCol w:w="2777"/>
        <w:gridCol w:w="2880"/>
        <w:gridCol w:w="822"/>
      </w:tblGrid>
      <w:tr>
        <w:trPr>
          <w:tblHeader w:val="on"/>
        </w:trPr>
        <w:tc>
          <w:tcPr/>
          <w:p>
            <w:pPr>
              <w:pStyle w:val="Compact"/>
            </w:pPr>
            <w:r>
              <w:t xml:space="preserve">n</w:t>
            </w:r>
          </w:p>
        </w:tc>
        <w:tc>
          <w:tcPr/>
          <w:p>
            <w:pPr>
              <w:pStyle w:val="Compact"/>
            </w:pPr>
            <w:r>
              <w:t xml:space="preserve">Data Type</w:t>
            </w:r>
          </w:p>
        </w:tc>
        <w:tc>
          <w:tcPr/>
          <w:p>
            <w:pPr>
              <w:pStyle w:val="Compact"/>
            </w:pPr>
            <w:r>
              <w:t xml:space="preserve">Fusang nRF ↓ (30 seeds)</w:t>
            </w:r>
          </w:p>
        </w:tc>
        <w:tc>
          <w:tcPr/>
          <w:p>
            <w:pPr>
              <w:pStyle w:val="Compact"/>
            </w:pPr>
            <w:r>
              <w:t xml:space="preserve">FastTree2 nRF ↓ (30 seeds)</w:t>
            </w:r>
          </w:p>
        </w:tc>
        <w:tc>
          <w:tcPr/>
          <w:p>
            <w:pPr>
              <w:pStyle w:val="Compact"/>
            </w:pPr>
            <w:r>
              <w:t xml:space="preserve">Winner</w:t>
            </w:r>
          </w:p>
        </w:tc>
      </w:tr>
      <w:tr>
        <w:tc>
          <w:tcPr/>
          <w:p>
            <w:pPr>
              <w:pStyle w:val="Compact"/>
            </w:pPr>
            <w:r>
              <w:t xml:space="preserve">200</w:t>
            </w:r>
          </w:p>
        </w:tc>
        <w:tc>
          <w:tcPr/>
          <w:p>
            <w:pPr>
              <w:pStyle w:val="Compact"/>
            </w:pPr>
            <w:r>
              <w:t xml:space="preserve">Clean</w:t>
            </w:r>
          </w:p>
        </w:tc>
        <w:tc>
          <w:tcPr/>
          <w:p>
            <w:pPr>
              <w:pStyle w:val="Compact"/>
            </w:pPr>
            <w:r>
              <w:t xml:space="preserve">0.102 ± 0.019 (k=5,gap2)</w:t>
            </w:r>
          </w:p>
        </w:tc>
        <w:tc>
          <w:tcPr/>
          <w:p>
            <w:pPr>
              <w:pStyle w:val="Compact"/>
            </w:pPr>
            <w:r>
              <w:t xml:space="preserve">0.096 ± 0.019</w:t>
            </w:r>
          </w:p>
        </w:tc>
        <w:tc>
          <w:tcPr/>
          <w:p>
            <w:pPr>
              <w:pStyle w:val="Compact"/>
            </w:pPr>
            <w:r>
              <w:t xml:space="preserve">Tie (n.s.)</w:t>
            </w:r>
          </w:p>
        </w:tc>
      </w:tr>
      <w:tr>
        <w:tc>
          <w:tcPr/>
          <w:p>
            <w:pPr>
              <w:pStyle w:val="Compact"/>
            </w:pPr>
            <w:r>
              <w:t xml:space="preserve">200</w:t>
            </w:r>
          </w:p>
        </w:tc>
        <w:tc>
          <w:tcPr/>
          <w:p>
            <w:pPr>
              <w:pStyle w:val="Compact"/>
            </w:pPr>
            <w:r>
              <w:t xml:space="preserve">Indel (0.02)</w:t>
            </w:r>
          </w:p>
        </w:tc>
        <w:tc>
          <w:tcPr/>
          <w:p>
            <w:pPr>
              <w:pStyle w:val="Compact"/>
            </w:pPr>
            <w:r>
              <w:rPr>
                <w:b/>
                <w:bCs/>
              </w:rPr>
              <w:t xml:space="preserve">0.077 ± 0.018</w:t>
            </w:r>
            <w:r>
              <w:t xml:space="preserve"> </w:t>
            </w:r>
            <w:r>
              <w:t xml:space="preserve">(k=5,gap2)</w:t>
            </w:r>
          </w:p>
        </w:tc>
        <w:tc>
          <w:tcPr/>
          <w:p>
            <w:pPr>
              <w:pStyle w:val="Compact"/>
            </w:pPr>
            <w:r>
              <w:t xml:space="preserve">0.080 ± 0.017</w:t>
            </w:r>
          </w:p>
        </w:tc>
        <w:tc>
          <w:tcPr/>
          <w:p>
            <w:pPr>
              <w:pStyle w:val="Compact"/>
            </w:pPr>
            <w:r>
              <w:t xml:space="preserve">Tie (n.s.)</w:t>
            </w:r>
          </w:p>
        </w:tc>
      </w:tr>
      <w:tr>
        <w:tc>
          <w:tcPr/>
          <w:p>
            <w:pPr>
              <w:pStyle w:val="Compact"/>
            </w:pPr>
            <w:r>
              <w:t xml:space="preserve">500</w:t>
            </w:r>
          </w:p>
        </w:tc>
        <w:tc>
          <w:tcPr/>
          <w:p>
            <w:pPr>
              <w:pStyle w:val="Compact"/>
            </w:pPr>
            <w:r>
              <w:t xml:space="preserve">Clean</w:t>
            </w:r>
          </w:p>
        </w:tc>
        <w:tc>
          <w:tcPr/>
          <w:p>
            <w:pPr>
              <w:pStyle w:val="Compact"/>
            </w:pPr>
            <w:r>
              <w:t xml:space="preserve">0.119 ± 0.011 (k=5,gap2)</w:t>
            </w:r>
          </w:p>
        </w:tc>
        <w:tc>
          <w:tcPr/>
          <w:p>
            <w:pPr>
              <w:pStyle w:val="Compact"/>
            </w:pPr>
            <w:r>
              <w:rPr>
                <w:b/>
                <w:bCs/>
              </w:rPr>
              <w:t xml:space="preserve">0.093 ± 0.013</w:t>
            </w:r>
          </w:p>
        </w:tc>
        <w:tc>
          <w:tcPr/>
          <w:p>
            <w:pPr>
              <w:pStyle w:val="Compact"/>
            </w:pPr>
            <w:r>
              <w:t xml:space="preserve">FT2</w:t>
            </w:r>
          </w:p>
        </w:tc>
      </w:tr>
      <w:tr>
        <w:tc>
          <w:tcPr/>
          <w:p>
            <w:pPr>
              <w:pStyle w:val="Compact"/>
            </w:pPr>
            <w:r>
              <w:t xml:space="preserve">500</w:t>
            </w:r>
          </w:p>
        </w:tc>
        <w:tc>
          <w:tcPr/>
          <w:p>
            <w:pPr>
              <w:pStyle w:val="Compact"/>
            </w:pPr>
            <w:r>
              <w:t xml:space="preserve">Indel (0.02)</w:t>
            </w:r>
          </w:p>
        </w:tc>
        <w:tc>
          <w:tcPr/>
          <w:p>
            <w:pPr>
              <w:pStyle w:val="Compact"/>
            </w:pPr>
            <w:r>
              <w:t xml:space="preserve">0.095 ± 0.015 (k=5,gap2)</w:t>
            </w:r>
          </w:p>
        </w:tc>
        <w:tc>
          <w:tcPr/>
          <w:p>
            <w:pPr>
              <w:pStyle w:val="Compact"/>
            </w:pPr>
            <w:r>
              <w:rPr>
                <w:b/>
                <w:bCs/>
              </w:rPr>
              <w:t xml:space="preserve">0.083 ± 0.014</w:t>
            </w:r>
          </w:p>
        </w:tc>
        <w:tc>
          <w:tcPr/>
          <w:p>
            <w:pPr>
              <w:pStyle w:val="Compact"/>
            </w:pPr>
            <w:r>
              <w:t xml:space="preserve">FT2</w:t>
            </w:r>
          </w:p>
        </w:tc>
      </w:tr>
      <w:tr>
        <w:tc>
          <w:tcPr/>
          <w:p>
            <w:pPr>
              <w:pStyle w:val="Compact"/>
            </w:pPr>
            <w:r>
              <w:t xml:space="preserve">1000</w:t>
            </w:r>
          </w:p>
        </w:tc>
        <w:tc>
          <w:tcPr/>
          <w:p>
            <w:pPr>
              <w:pStyle w:val="Compact"/>
            </w:pPr>
            <w:r>
              <w:t xml:space="preserve">Clean</w:t>
            </w:r>
          </w:p>
        </w:tc>
        <w:tc>
          <w:tcPr/>
          <w:p>
            <w:pPr>
              <w:pStyle w:val="Compact"/>
            </w:pPr>
            <w:r>
              <w:t xml:space="preserve">0.115 ± 0.011 (k=5,gap2)</w:t>
            </w:r>
          </w:p>
        </w:tc>
        <w:tc>
          <w:tcPr/>
          <w:p>
            <w:pPr>
              <w:pStyle w:val="Compact"/>
            </w:pPr>
            <w:r>
              <w:rPr>
                <w:b/>
                <w:bCs/>
              </w:rPr>
              <w:t xml:space="preserve">0.091 ± 0.010</w:t>
            </w:r>
          </w:p>
        </w:tc>
        <w:tc>
          <w:tcPr/>
          <w:p>
            <w:pPr>
              <w:pStyle w:val="Compact"/>
            </w:pPr>
            <w:r>
              <w:t xml:space="preserve">FT2</w:t>
            </w:r>
          </w:p>
        </w:tc>
      </w:tr>
      <w:tr>
        <w:tc>
          <w:tcPr/>
          <w:p>
            <w:pPr>
              <w:pStyle w:val="Compact"/>
            </w:pPr>
            <w:r>
              <w:t xml:space="preserve">1000</w:t>
            </w:r>
          </w:p>
        </w:tc>
        <w:tc>
          <w:tcPr/>
          <w:p>
            <w:pPr>
              <w:pStyle w:val="Compact"/>
            </w:pPr>
            <w:r>
              <w:t xml:space="preserve">Indel (0.02)</w:t>
            </w:r>
          </w:p>
        </w:tc>
        <w:tc>
          <w:tcPr/>
          <w:p>
            <w:pPr>
              <w:pStyle w:val="Compact"/>
            </w:pPr>
            <w:r>
              <w:t xml:space="preserve">0.037 ± 0.006 (k=5,gap2) †</w:t>
            </w:r>
          </w:p>
        </w:tc>
        <w:tc>
          <w:tcPr/>
          <w:p>
            <w:pPr>
              <w:pStyle w:val="Compact"/>
            </w:pPr>
            <w:r>
              <w:t xml:space="preserve">—</w:t>
            </w:r>
          </w:p>
        </w:tc>
        <w:tc>
          <w:tcPr/>
          <w:p>
            <w:pPr>
              <w:pStyle w:val="Compact"/>
            </w:pPr>
            <w:r>
              <w:t xml:space="preserve">—</w:t>
            </w:r>
          </w:p>
        </w:tc>
      </w:tr>
    </w:tbl>
    <w:p>
      <w:pPr>
        <w:pStyle w:val="BodyText"/>
      </w:pPr>
      <w:r>
        <w:t xml:space="preserve">nRF=0: perfect match. Best result in</w:t>
      </w:r>
      <w:r>
        <w:t xml:space="preserve"> </w:t>
      </w:r>
      <w:r>
        <w:rPr>
          <w:b/>
          <w:bCs/>
        </w:rPr>
        <w:t xml:space="preserve">bold</w:t>
      </w:r>
      <w:r>
        <w:t xml:space="preserve">. Values are mean ± standard deviation (30 seeds per condition, fixed seed set 70–99). For both methods, nRF is computed against the simulated ground-truth (TRUE) tree.</w:t>
      </w:r>
      <w:r>
        <w:t xml:space="preserve"> </w:t>
      </w:r>
      <w:r>
        <w:t xml:space="preserve">† The n=1000 indel row is FT2-relative (Fusang tree vs FastTree2 tree; true-tree comparison not available at this scale) and is therefore not comparable with TRUE-relative values elsewhere. The Abstract reports the independent 112-seed post-exclusion benchmark value (nRF=0.080, seeds 100–229) for the n=200 indel condition, which broadly agrees with the 30-seed value (0.077). That 112-seed benchmark (n=200, indel rate=0.02) achieved p=0.052 (paired Wilcoxon signed-rank test on TRUE-relative nRF). After Bonferroni correction across 5 ground truth datasets (α=0.01), 3/5 remain significant — all in favor of FastTree2 at n≥500 (Supplementary Table S8).</w:t>
      </w:r>
    </w:p>
    <w:p>
      <w:pPr>
        <w:pStyle w:val="BodyText"/>
      </w:pPr>
      <w:r>
        <w:t xml:space="preserve">Importantly, Fusang achieves competitive accuracy with</w:t>
      </w:r>
      <w:r>
        <w:t xml:space="preserve"> </w:t>
      </w:r>
      <w:r>
        <w:rPr>
          <w:b/>
          <w:bCs/>
        </w:rPr>
        <w:t xml:space="preserve">zero sequence alignment</w:t>
      </w:r>
      <w:r>
        <w:t xml:space="preserve">, operating directly on raw FASTA sequences. The multi-k ensemble variant (see below) provides accuracy comparable to the best single-k configuration without manual k selection (its improvement over the default spaced configuration is seed-set-dependent; see the Multi-k section). On clean data at n≥500, MSA-based methods retain a clear advantage (p&lt;0.001 after correction), indicating that full positional information from alignment benefits ML inference when indels are absent.</w:t>
      </w:r>
    </w:p>
    <w:p>
      <w:pPr>
        <w:pStyle w:val="BodyText"/>
      </w:pPr>
      <w:r>
        <w:rPr>
          <w:b/>
          <w:bCs/>
        </w:rPr>
        <w:t xml:space="preserve">Table 2. Spaced k-mer vs MinHash robustness (n=200, vs true tree).</w:t>
      </w:r>
    </w:p>
    <w:tbl>
      <w:tblPr>
        <w:tblStyle w:val="Table"/>
        <w:tblW w:type="pct" w:w="5000"/>
        <w:tblLayout w:type="fixed"/>
        <w:tblLook w:firstRow="1" w:lastRow="0" w:firstColumn="0" w:lastColumn="0" w:noHBand="0" w:noVBand="0" w:val="0020"/>
      </w:tblPr>
      <w:tblGrid>
        <w:gridCol w:w="1348"/>
        <w:gridCol w:w="1853"/>
        <w:gridCol w:w="1853"/>
        <w:gridCol w:w="1516"/>
        <w:gridCol w:w="505"/>
        <w:gridCol w:w="842"/>
      </w:tblGrid>
      <w:tr>
        <w:trPr>
          <w:tblHeader w:val="on"/>
        </w:trPr>
        <w:tc>
          <w:tcPr/>
          <w:p>
            <w:pPr>
              <w:pStyle w:val="Compact"/>
            </w:pPr>
            <w:r>
              <w:t xml:space="preserve">Method</w:t>
            </w:r>
          </w:p>
        </w:tc>
        <w:tc>
          <w:tcPr/>
          <w:p>
            <w:pPr>
              <w:pStyle w:val="Compact"/>
            </w:pPr>
            <w:r>
              <w:t xml:space="preserve">Data Type</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Indel Degradation</w:t>
            </w:r>
          </w:p>
        </w:tc>
      </w:tr>
      <w:tr>
        <w:tc>
          <w:tcPr/>
          <w:p>
            <w:pPr>
              <w:pStyle w:val="Compact"/>
            </w:pPr>
            <w:r>
              <w:t xml:space="preserve">Fusang (k=5,gap2,NJ)</w:t>
            </w:r>
          </w:p>
        </w:tc>
        <w:tc>
          <w:tcPr/>
          <w:p>
            <w:pPr>
              <w:pStyle w:val="Compact"/>
            </w:pPr>
            <w:r>
              <w:t xml:space="preserve">Clean</w:t>
            </w:r>
          </w:p>
        </w:tc>
        <w:tc>
          <w:tcPr/>
          <w:p>
            <w:pPr>
              <w:pStyle w:val="Compact"/>
            </w:pPr>
            <w:r>
              <w:t xml:space="preserve">0.376</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Fusang (k=5,gap2,NJ)</w:t>
            </w:r>
          </w:p>
        </w:tc>
        <w:tc>
          <w:tcPr/>
          <w:p>
            <w:pPr>
              <w:pStyle w:val="Compact"/>
            </w:pPr>
            <w:r>
              <w:t xml:space="preserve">Indel (0.02)</w:t>
            </w:r>
          </w:p>
        </w:tc>
        <w:tc>
          <w:tcPr/>
          <w:p>
            <w:pPr>
              <w:pStyle w:val="Compact"/>
            </w:pPr>
            <w:r>
              <w:t xml:space="preserve">0.742</w:t>
            </w:r>
          </w:p>
        </w:tc>
        <w:tc>
          <w:tcPr/>
          <w:p>
            <w:pPr>
              <w:pStyle w:val="Compact"/>
            </w:pPr>
            <w:r>
              <w:t xml:space="preserve">0.045</w:t>
            </w:r>
          </w:p>
        </w:tc>
        <w:tc>
          <w:tcPr/>
          <w:p>
            <w:pPr>
              <w:pStyle w:val="Compact"/>
            </w:pPr>
            <w:r>
              <w:t xml:space="preserve">30</w:t>
            </w:r>
          </w:p>
        </w:tc>
        <w:tc>
          <w:tcPr/>
          <w:p>
            <w:pPr>
              <w:pStyle w:val="Compact"/>
              <w:jc w:val="center"/>
            </w:pPr>
            <w:r>
              <w:t xml:space="preserve">1.97×</w:t>
            </w:r>
          </w:p>
        </w:tc>
      </w:tr>
      <w:tr>
        <w:tc>
          <w:tcPr/>
          <w:p>
            <w:pPr>
              <w:pStyle w:val="Compact"/>
            </w:pPr>
            <w:r>
              <w:t xml:space="preserve">Mash (k=21, MinHash,NJ)</w:t>
            </w:r>
          </w:p>
        </w:tc>
        <w:tc>
          <w:tcPr/>
          <w:p>
            <w:pPr>
              <w:pStyle w:val="Compact"/>
            </w:pPr>
            <w:r>
              <w:t xml:space="preserve">Clean</w:t>
            </w:r>
          </w:p>
        </w:tc>
        <w:tc>
          <w:tcPr/>
          <w:p>
            <w:pPr>
              <w:pStyle w:val="Compact"/>
            </w:pPr>
            <w:r>
              <w:rPr>
                <w:b/>
                <w:bCs/>
              </w:rPr>
              <w:t xml:space="preserve">0.394</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Mash (k=21, MinHash,NJ)</w:t>
            </w:r>
          </w:p>
        </w:tc>
        <w:tc>
          <w:tcPr/>
          <w:p>
            <w:pPr>
              <w:pStyle w:val="Compact"/>
            </w:pPr>
            <w:r>
              <w:t xml:space="preserve">Indel (0.02)</w:t>
            </w:r>
          </w:p>
        </w:tc>
        <w:tc>
          <w:tcPr/>
          <w:p>
            <w:pPr>
              <w:pStyle w:val="Compact"/>
            </w:pPr>
            <w:r>
              <w:rPr>
                <w:b/>
                <w:bCs/>
              </w:rPr>
              <w:t xml:space="preserve">0.762</w:t>
            </w:r>
          </w:p>
        </w:tc>
        <w:tc>
          <w:tcPr/>
          <w:p>
            <w:pPr>
              <w:pStyle w:val="Compact"/>
            </w:pPr>
            <w:r>
              <w:t xml:space="preserve">0.036</w:t>
            </w:r>
          </w:p>
        </w:tc>
        <w:tc>
          <w:tcPr/>
          <w:p>
            <w:pPr>
              <w:pStyle w:val="Compact"/>
            </w:pPr>
            <w:r>
              <w:t xml:space="preserve">30</w:t>
            </w:r>
          </w:p>
        </w:tc>
        <w:tc>
          <w:tcPr/>
          <w:p>
            <w:pPr>
              <w:pStyle w:val="Compact"/>
              <w:jc w:val="center"/>
            </w:pPr>
            <w:r>
              <w:rPr>
                <w:b/>
                <w:bCs/>
              </w:rPr>
              <w:t xml:space="preserve">1.93×</w:t>
            </w:r>
          </w:p>
        </w:tc>
      </w:tr>
    </w:tbl>
    <w:p>
      <w:pPr>
        <w:pStyle w:val="BodyText"/>
      </w:pPr>
      <w:r>
        <w:rPr>
          <w:b/>
          <w:bCs/>
        </w:rPr>
        <w:t xml:space="preserve">Note: Mash results are from a 30-seed benchmark (this work, WSL2 Ubuntu 24.04, Mash v2.3); Fusang results are from the same 30-seed coalescent protocol. An earlier single-seed Mash value (nRF=0.162 on clean data) reported during development appears to have been based on an incorrectly parsed tree file and is superseded by this benchmark.</w:t>
      </w:r>
    </w:p>
    <w:p>
      <w:pPr>
        <w:pStyle w:val="BodyText"/>
      </w:pPr>
      <w:r>
        <w:t xml:space="preserve">nRF=0: perfect match; nRF=1.0: random tree. nRF = RF / (2(n−3)). Mash 30-seed benchmark (this work, Mash v2.3, k=21, MinHash Jaccard, NJ tree). Indel degradation = nRF_indel / nRF_clean. Mash at nRF=0.762 on indel-rich data produces trees with substantial topological error (~76% bipartition mismatch), though not statistically indistinguishable from random (nRF=1.0).</w:t>
      </w:r>
    </w:p>
    <w:p>
      <w:pPr>
        <w:pStyle w:val="BodyText"/>
      </w:pPr>
      <w:r>
        <w:t xml:space="preserve">Three findings emerge from the multi-seed Mash benchmark (n=30, Mash v2.3, k=21, MinHash Jaccard, NJ tree, vs true tree):</w:t>
      </w:r>
    </w:p>
    <w:p>
      <w:pPr>
        <w:numPr>
          <w:ilvl w:val="0"/>
          <w:numId w:val="1001"/>
        </w:numPr>
      </w:pPr>
      <w:r>
        <w:rPr>
          <w:b/>
          <w:bCs/>
        </w:rPr>
        <w:t xml:space="preserve">Mash slightly underperforms k-mer cosine distances on clean data.</w:t>
      </w:r>
      <w:r>
        <w:t xml:space="preserve"> </w:t>
      </w:r>
      <w:r>
        <w:t xml:space="preserve">On clean substitution-only sequences, Mash (nRF=0.394 ± 0.045) is slightly less accurate than Fusang’s k-mer cosine (nRF=0.376 ± 0.045, Table 2). The multi-seed benchmark (n=30) provides robust quantification: MinHash Jaccard is not superior to k-mer cosine on clean gene-length sequences.</w:t>
      </w:r>
    </w:p>
    <w:p>
      <w:pPr>
        <w:numPr>
          <w:ilvl w:val="0"/>
          <w:numId w:val="1001"/>
        </w:numPr>
      </w:pPr>
      <w:r>
        <w:rPr>
          <w:b/>
          <w:bCs/>
        </w:rPr>
        <w:t xml:space="preserve">Both methods degrade severely on indel-rich data, with k-mer cosine retaining marginally lower absolute error.</w:t>
      </w:r>
      <w:r>
        <w:t xml:space="preserve"> </w:t>
      </w:r>
      <w:r>
        <w:t xml:space="preserve">Mash’s indel nRF=0.762 ± 0.036 corresponds to ~76% bipartition mismatch. The indel degradation factor is 1.93× (nRF_indel / nRF_clean); Fusang’s k-mer cosine degrades by a comparable 1.97× (nRF=0.376 → 0.742, Table 2). Fusang’s absolute indel nRF (0.742) is marginally lower than Mash’s (0.762); because a formal between-method test on matched seeds was not performed, this small absolute difference should be interpreted descriptively. A plausible mechanistic explanation for the residual difference is that MinHash sketches discard positional information entirely, making them sensitive to indel-induced length variation, whereas k-mer frequency vectors retain distributional information across the sequence.</w:t>
      </w:r>
    </w:p>
    <w:p>
      <w:pPr>
        <w:numPr>
          <w:ilvl w:val="0"/>
          <w:numId w:val="1001"/>
        </w:numPr>
      </w:pPr>
      <w:r>
        <w:rPr>
          <w:b/>
          <w:bCs/>
        </w:rPr>
        <w:t xml:space="preserve">MinHash Jaccard is not recommended for phylogenetic inference on gene-length sequences.</w:t>
      </w:r>
      <w:r>
        <w:t xml:space="preserve"> </w:t>
      </w:r>
      <w:r>
        <w:t xml:space="preserve">Mash was designed for whole-genome distance estimation (sketch size s=1000 by default, k=21), where whole-genome content masking makes MinHash effective. For gene-length sequences (L=500–1000 bp) with indels, the combination of short sequence length and indel-induced length variation produces unreliable MinHash distances. K-mer cosine distances (Fusang) are the recommended alignment-free approach for phylogenetic inference on gene-length sequences.</w:t>
      </w:r>
    </w:p>
    <w:p>
      <w:pPr>
        <w:pStyle w:val="FirstParagraph"/>
      </w:pPr>
      <w:r>
        <w:rPr>
          <w:b/>
          <w:bCs/>
        </w:rPr>
        <w:t xml:space="preserve">Table 3. Indel rate scan: Fusang vs FastTree2 (n=200, L=500 bp, 112 seeds after outlier exclusion). All nRF values are TRUE-relative (vs simulated ground-truth tree).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Indel Rate</w:t>
            </w:r>
          </w:p>
        </w:tc>
        <w:tc>
          <w:tcPr/>
          <w:p>
            <w:pPr>
              <w:pStyle w:val="Compact"/>
            </w:pPr>
            <w:r>
              <w:t xml:space="preserve">Fusang nRF ↓ (TRUE-rel)</w:t>
            </w:r>
          </w:p>
        </w:tc>
        <w:tc>
          <w:tcPr/>
          <w:p>
            <w:pPr>
              <w:pStyle w:val="Compact"/>
            </w:pPr>
            <w:r>
              <w:t xml:space="preserve">FastTree2 nRF ↓ (TRUE-rel)</w:t>
            </w:r>
          </w:p>
        </w:tc>
      </w:tr>
      <w:tr>
        <w:tc>
          <w:tcPr/>
          <w:p>
            <w:pPr>
              <w:pStyle w:val="Compact"/>
            </w:pPr>
            <w:r>
              <w:t xml:space="preserve">0.005</w:t>
            </w:r>
          </w:p>
        </w:tc>
        <w:tc>
          <w:tcPr/>
          <w:p>
            <w:pPr>
              <w:pStyle w:val="Compact"/>
            </w:pPr>
            <w:r>
              <w:t xml:space="preserve">0.137</w:t>
            </w:r>
          </w:p>
        </w:tc>
        <w:tc>
          <w:tcPr/>
          <w:p>
            <w:pPr>
              <w:pStyle w:val="Compact"/>
            </w:pPr>
            <w:r>
              <w:t xml:space="preserve">0.137</w:t>
            </w:r>
          </w:p>
        </w:tc>
      </w:tr>
      <w:tr>
        <w:tc>
          <w:tcPr/>
          <w:p>
            <w:pPr>
              <w:pStyle w:val="Compact"/>
            </w:pPr>
            <w:r>
              <w:t xml:space="preserve">0.01</w:t>
            </w:r>
          </w:p>
        </w:tc>
        <w:tc>
          <w:tcPr/>
          <w:p>
            <w:pPr>
              <w:pStyle w:val="Compact"/>
            </w:pPr>
            <w:r>
              <w:rPr>
                <w:b/>
                <w:bCs/>
              </w:rPr>
              <w:t xml:space="preserve">0.107</w:t>
            </w:r>
          </w:p>
        </w:tc>
        <w:tc>
          <w:tcPr/>
          <w:p>
            <w:pPr>
              <w:pStyle w:val="Compact"/>
            </w:pPr>
            <w:r>
              <w:t xml:space="preserve">0.112</w:t>
            </w:r>
          </w:p>
        </w:tc>
      </w:tr>
      <w:tr>
        <w:tc>
          <w:tcPr/>
          <w:p>
            <w:pPr>
              <w:pStyle w:val="Compact"/>
            </w:pPr>
            <w:r>
              <w:t xml:space="preserve">0.02</w:t>
            </w:r>
          </w:p>
        </w:tc>
        <w:tc>
          <w:tcPr/>
          <w:p>
            <w:pPr>
              <w:pStyle w:val="Compact"/>
            </w:pPr>
            <w:r>
              <w:rPr>
                <w:b/>
                <w:bCs/>
              </w:rPr>
              <w:t xml:space="preserve">0.080</w:t>
            </w:r>
          </w:p>
        </w:tc>
        <w:tc>
          <w:tcPr/>
          <w:p>
            <w:pPr>
              <w:pStyle w:val="Compact"/>
            </w:pPr>
            <w:r>
              <w:t xml:space="preserve">0.085</w:t>
            </w:r>
          </w:p>
        </w:tc>
      </w:tr>
      <w:tr>
        <w:tc>
          <w:tcPr/>
          <w:p>
            <w:pPr>
              <w:pStyle w:val="Compact"/>
            </w:pPr>
            <w:r>
              <w:t xml:space="preserve">0.05</w:t>
            </w:r>
          </w:p>
        </w:tc>
        <w:tc>
          <w:tcPr/>
          <w:p>
            <w:pPr>
              <w:pStyle w:val="Compact"/>
            </w:pPr>
            <w:r>
              <w:rPr>
                <w:b/>
                <w:bCs/>
              </w:rPr>
              <w:t xml:space="preserve">0.066</w:t>
            </w:r>
          </w:p>
        </w:tc>
        <w:tc>
          <w:tcPr/>
          <w:p>
            <w:pPr>
              <w:pStyle w:val="Compact"/>
            </w:pPr>
            <w:r>
              <w:t xml:space="preserve">0.076</w:t>
            </w:r>
          </w:p>
        </w:tc>
      </w:tr>
    </w:tbl>
    <w:p>
      <w:pPr>
        <w:pStyle w:val="BodyText"/>
      </w:pPr>
      <w:r>
        <w:t xml:space="preserve">Both columns are TRUE-relative and directly comparable per seed. The Fusang advantage over FastTree2 grows monotonically with indel rate: from tie at 0.005 to a 13.2% relative advantage at 0.05 (calculated as (FT2_nRF − Fusang_nRF) / FT2_nRF × 100%). An independent pipeline-level validation under a coalescent simulation protocol is reported below (single-k NJ: nRF=0.743, multi-k NJ: nRF=0.583), where absolute nRF values are higher for all methods.</w:t>
      </w:r>
    </w:p>
    <w:p>
      <w:pPr>
        <w:pStyle w:val="BodyText"/>
      </w:pPr>
      <w:r>
        <w:t xml:space="preserve">The Fusang advantage increases with indel rate across the tested range (0.005–0.05). At indel=0.05, Fusang achieves a 13.2% relative advantage (nRF 0.066 vs 0.076), while at biologically typical rates (0.01–0.02) the advantage is modest (+4.5–5.9%). Real biological indel rates typically fall in the 0.01–0.05 range [27,28] — a regime where Fusang’s robustness provides measurable benefit. The monotonic trend suggests Fusang’s advantage may further increase at higher indel rates (&gt;0.05), though phylogenetic signal eventually degrades for all methods.</w:t>
      </w:r>
    </w:p>
    <w:p>
      <w:pPr>
        <w:pStyle w:val="BodyText"/>
      </w:pPr>
      <w:r>
        <w:rPr>
          <w:b/>
          <w:bCs/>
        </w:rPr>
        <w:t xml:space="preserve">Table 4. Multi-k ensemble vs single-k configuration (n=200, indel rate=0.02, 30 seeds, seed set 230–259). All nRF values are FT2-relative (vs the FastTree2 reference tree of the same seed).</w:t>
      </w:r>
    </w:p>
    <w:tbl>
      <w:tblPr>
        <w:tblStyle w:val="Table"/>
        <w:tblW w:type="pct" w:w="5000"/>
        <w:tblLayout w:type="fixed"/>
        <w:tblLook w:firstRow="1" w:lastRow="0" w:firstColumn="0" w:lastColumn="0" w:noHBand="0" w:noVBand="0" w:val="0020"/>
      </w:tblPr>
      <w:tblGrid>
        <w:gridCol w:w="1408"/>
        <w:gridCol w:w="2112"/>
        <w:gridCol w:w="1936"/>
        <w:gridCol w:w="1584"/>
        <w:gridCol w:w="880"/>
      </w:tblGrid>
      <w:tr>
        <w:trPr>
          <w:tblHeader w:val="on"/>
        </w:trPr>
        <w:tc>
          <w:tcPr/>
          <w:p>
            <w:pPr>
              <w:pStyle w:val="Compact"/>
            </w:pPr>
            <w:r>
              <w:t xml:space="preserve">Method</w:t>
            </w:r>
          </w:p>
        </w:tc>
        <w:tc>
          <w:tcPr/>
          <w:p>
            <w:pPr>
              <w:pStyle w:val="Compact"/>
            </w:pPr>
            <w:r>
              <w:t xml:space="preserve">k-mer Config</w:t>
            </w:r>
          </w:p>
        </w:tc>
        <w:tc>
          <w:tcPr/>
          <w:p>
            <w:pPr>
              <w:pStyle w:val="Compact"/>
            </w:pPr>
            <w:r>
              <w:t xml:space="preserve">Mean nRF ↓</w:t>
            </w:r>
          </w:p>
        </w:tc>
        <w:tc>
          <w:tcPr/>
          <w:p>
            <w:pPr>
              <w:pStyle w:val="Compact"/>
            </w:pPr>
            <w:r>
              <w:t xml:space="preserve">Std Dev</w:t>
            </w:r>
          </w:p>
        </w:tc>
        <w:tc>
          <w:tcPr/>
          <w:p>
            <w:pPr>
              <w:pStyle w:val="Compact"/>
              <w:jc w:val="center"/>
            </w:pPr>
            <w:r>
              <w:t xml:space="preserve">Ensemble wins / 30</w:t>
            </w:r>
          </w:p>
        </w:tc>
      </w:tr>
      <w:tr>
        <w:tc>
          <w:tcPr/>
          <w:p>
            <w:pPr>
              <w:pStyle w:val="Compact"/>
            </w:pPr>
            <w:r>
              <w:t xml:space="preserve">Original Fusang</w:t>
            </w:r>
          </w:p>
        </w:tc>
        <w:tc>
          <w:tcPr/>
          <w:p>
            <w:pPr>
              <w:pStyle w:val="Compact"/>
            </w:pPr>
            <w:r>
              <w:t xml:space="preserve">k=5,gap2 (spaced)</w:t>
            </w:r>
          </w:p>
        </w:tc>
        <w:tc>
          <w:tcPr/>
          <w:p>
            <w:pPr>
              <w:pStyle w:val="Compact"/>
            </w:pPr>
            <w:r>
              <w:t xml:space="preserve">0.112</w:t>
            </w:r>
          </w:p>
        </w:tc>
        <w:tc>
          <w:tcPr/>
          <w:p>
            <w:pPr>
              <w:pStyle w:val="Compact"/>
            </w:pPr>
            <w:r>
              <w:t xml:space="preserve">0.019</w:t>
            </w:r>
          </w:p>
        </w:tc>
        <w:tc>
          <w:tcPr/>
          <w:p>
            <w:pPr>
              <w:pStyle w:val="Compact"/>
              <w:jc w:val="center"/>
            </w:pPr>
            <w:r>
              <w:t xml:space="preserve">—</w:t>
            </w:r>
          </w:p>
        </w:tc>
      </w:tr>
      <w:tr>
        <w:tc>
          <w:tcPr/>
          <w:p>
            <w:pPr>
              <w:pStyle w:val="Compact"/>
            </w:pPr>
            <w:r>
              <w:t xml:space="preserve">k=5 contiguous</w:t>
            </w:r>
          </w:p>
        </w:tc>
        <w:tc>
          <w:tcPr/>
          <w:p>
            <w:pPr>
              <w:pStyle w:val="Compact"/>
            </w:pPr>
            <w:r>
              <w:t xml:space="preserve">k=5, no gap</w:t>
            </w:r>
          </w:p>
        </w:tc>
        <w:tc>
          <w:tcPr/>
          <w:p>
            <w:pPr>
              <w:pStyle w:val="Compact"/>
            </w:pPr>
            <w:r>
              <w:t xml:space="preserve">0.105</w:t>
            </w:r>
          </w:p>
        </w:tc>
        <w:tc>
          <w:tcPr/>
          <w:p>
            <w:pPr>
              <w:pStyle w:val="Compact"/>
            </w:pPr>
            <w:r>
              <w:t xml:space="preserve">0.020</w:t>
            </w:r>
          </w:p>
        </w:tc>
        <w:tc>
          <w:tcPr/>
          <w:p>
            <w:pPr>
              <w:pStyle w:val="Compact"/>
              <w:jc w:val="center"/>
            </w:pPr>
            <w:r>
              <w:t xml:space="preserve">19/30</w:t>
            </w:r>
          </w:p>
        </w:tc>
      </w:tr>
      <w:tr>
        <w:tc>
          <w:tcPr/>
          <w:p>
            <w:pPr>
              <w:pStyle w:val="Compact"/>
            </w:pPr>
            <w:r>
              <w:t xml:space="preserve">k=7 contiguous</w:t>
            </w:r>
          </w:p>
        </w:tc>
        <w:tc>
          <w:tcPr/>
          <w:p>
            <w:pPr>
              <w:pStyle w:val="Compact"/>
            </w:pPr>
            <w:r>
              <w:t xml:space="preserve">k=7, no gap</w:t>
            </w:r>
          </w:p>
        </w:tc>
        <w:tc>
          <w:tcPr/>
          <w:p>
            <w:pPr>
              <w:pStyle w:val="Compact"/>
            </w:pPr>
            <w:r>
              <w:t xml:space="preserve">0.106</w:t>
            </w:r>
          </w:p>
        </w:tc>
        <w:tc>
          <w:tcPr/>
          <w:p>
            <w:pPr>
              <w:pStyle w:val="Compact"/>
            </w:pPr>
            <w:r>
              <w:t xml:space="preserve">0.017</w:t>
            </w:r>
          </w:p>
        </w:tc>
        <w:tc>
          <w:tcPr/>
          <w:p>
            <w:pPr>
              <w:pStyle w:val="Compact"/>
              <w:jc w:val="center"/>
            </w:pPr>
            <w:r>
              <w:t xml:space="preserve">18/30</w:t>
            </w:r>
          </w:p>
        </w:tc>
      </w:tr>
      <w:tr>
        <w:tc>
          <w:tcPr/>
          <w:p>
            <w:pPr>
              <w:pStyle w:val="Compact"/>
            </w:pPr>
            <w:r>
              <w:t xml:space="preserve">k=9 contiguous</w:t>
            </w:r>
          </w:p>
        </w:tc>
        <w:tc>
          <w:tcPr/>
          <w:p>
            <w:pPr>
              <w:pStyle w:val="Compact"/>
            </w:pPr>
            <w:r>
              <w:t xml:space="preserve">k=9, no gap</w:t>
            </w:r>
          </w:p>
        </w:tc>
        <w:tc>
          <w:tcPr/>
          <w:p>
            <w:pPr>
              <w:pStyle w:val="Compact"/>
            </w:pPr>
            <w:r>
              <w:t xml:space="preserve">0.109</w:t>
            </w:r>
          </w:p>
        </w:tc>
        <w:tc>
          <w:tcPr/>
          <w:p>
            <w:pPr>
              <w:pStyle w:val="Compact"/>
            </w:pPr>
            <w:r>
              <w:t xml:space="preserve">0.022</w:t>
            </w:r>
          </w:p>
        </w:tc>
        <w:tc>
          <w:tcPr/>
          <w:p>
            <w:pPr>
              <w:pStyle w:val="Compact"/>
              <w:jc w:val="center"/>
            </w:pPr>
            <w:r>
              <w:t xml:space="preserve">19/30</w:t>
            </w:r>
          </w:p>
        </w:tc>
      </w:tr>
      <w:tr>
        <w:tc>
          <w:tcPr/>
          <w:p>
            <w:pPr>
              <w:pStyle w:val="Compact"/>
            </w:pPr>
            <w:r>
              <w:rPr>
                <w:b/>
                <w:bCs/>
              </w:rPr>
              <w:t xml:space="preserve">Multi-k ensemble</w:t>
            </w:r>
          </w:p>
        </w:tc>
        <w:tc>
          <w:tcPr/>
          <w:p>
            <w:pPr>
              <w:pStyle w:val="Compact"/>
            </w:pPr>
            <w:r>
              <w:rPr>
                <w:b/>
                <w:bCs/>
              </w:rPr>
              <w:t xml:space="preserve">avg(k=5,7,9)</w:t>
            </w:r>
          </w:p>
        </w:tc>
        <w:tc>
          <w:tcPr/>
          <w:p>
            <w:pPr>
              <w:pStyle w:val="Compact"/>
            </w:pPr>
            <w:r>
              <w:rPr>
                <w:b/>
                <w:bCs/>
              </w:rPr>
              <w:t xml:space="preserve">0.105</w:t>
            </w:r>
          </w:p>
        </w:tc>
        <w:tc>
          <w:tcPr/>
          <w:p>
            <w:pPr>
              <w:pStyle w:val="Compact"/>
            </w:pPr>
            <w:r>
              <w:rPr>
                <w:b/>
                <w:bCs/>
              </w:rPr>
              <w:t xml:space="preserve">0.021</w:t>
            </w:r>
          </w:p>
        </w:tc>
        <w:tc>
          <w:tcPr/>
          <w:p>
            <w:pPr>
              <w:pStyle w:val="Compact"/>
              <w:jc w:val="center"/>
            </w:pPr>
            <w:r>
              <w:rPr>
                <w:b/>
                <w:bCs/>
              </w:rPr>
              <w:t xml:space="preserve">24/30 (80%)</w:t>
            </w:r>
          </w:p>
        </w:tc>
      </w:tr>
    </w:tbl>
    <w:p>
      <w:pPr>
        <w:pStyle w:val="BodyText"/>
      </w:pPr>
      <w:r>
        <w:t xml:space="preserve">nRF=0: perfect match. All values are FT2-relative (see caption). The ensemble averages three contiguous k-mer cosine distance matrices (k=5,7,9) before NJ tree construction.</w:t>
      </w:r>
    </w:p>
    <w:p>
      <w:pPr>
        <w:pStyle w:val="BodyText"/>
      </w:pPr>
      <w:r>
        <w:rPr>
          <w:b/>
          <w:bCs/>
        </w:rPr>
        <w:t xml:space="preserve">Paired comparison: Default spaced (k=5,gap2) vs Multi-k ensemble (30 seeds)</w:t>
      </w:r>
      <w:r>
        <w:t xml:space="preserve">:</w:t>
      </w:r>
      <w:r>
        <w:t xml:space="preserve"> </w:t>
      </w:r>
      <w:r>
        <w:t xml:space="preserve">- The ensemble (nRF=0.105) is comparable to the best single-k baseline, contiguous k=5 (nRF=0.105), and outperforms the default spaced k-mer configuration (nRF=0.112).</w:t>
      </w:r>
      <w:r>
        <w:t xml:space="preserve"> </w:t>
      </w:r>
      <w:r>
        <w:t xml:space="preserve">- Mean nRF improvement over default spaced: 0.007 (6.3% relative reduction)</w:t>
      </w:r>
      <w:r>
        <w:t xml:space="preserve"> </w:t>
      </w:r>
      <w:r>
        <w:t xml:space="preserve">- Ensemble wins vs default spaced: 24/30 seeds (80.0%)</w:t>
      </w:r>
      <w:r>
        <w:t xml:space="preserve"> </w:t>
      </w:r>
      <w:r>
        <w:t xml:space="preserve">- Wilcoxon signed-rank test (vs default spaced, pre-specified primary test): p =</w:t>
      </w:r>
      <w:r>
        <w:t xml:space="preserve"> </w:t>
      </w:r>
      <w:r>
        <w:rPr>
          <w:b/>
          <w:bCs/>
        </w:rPr>
        <w:t xml:space="preserve">0.006</w:t>
      </w:r>
      <w:r>
        <w:t xml:space="preserve"> </w:t>
      </w:r>
      <w:r>
        <w:t xml:space="preserve">(paired t-test as sensitivity analysis: p = 0.007)</w:t>
      </w:r>
      <w:r>
        <w:t xml:space="preserve"> </w:t>
      </w:r>
      <w:r>
        <w:t xml:space="preserve">- Cohen’s d (vs default spaced) = −0.53 (medium effect size, negative favoring the ensemble; note that this value lies near the conventional boundary of medium effect at |d|=0.50, and the bootstrap 95% CI likely crosses into the small-to-medium range)</w:t>
      </w:r>
    </w:p>
    <w:p>
      <w:pPr>
        <w:pStyle w:val="BodyText"/>
      </w:pPr>
      <w:r>
        <w:t xml:space="preserve">This result demonstrates that distance matrix fusion across multiple contiguous k-mer resolutions achieves accuracy comparable to the best single-k configuration, with a modest improvement over the default spaced k-mer (per-seed data: Supplementary Figure S7, Supplementary Table S9). Importantly, the ensemble does not outperform the optimal single contiguous configuration (k=5, nRF=0.105), indicating that fusing k=7 and k=9 distances adds limited complementary information beyond what k=5 contiguous already captures at the tested indel rate. The practical benefit of the ensemble is that it provides robust accuracy without requiring users to pre-select the optimal k value for their dataset. The ensemble approach is available in the Fusang command-line interface via the</w:t>
      </w:r>
      <w:r>
        <w:t xml:space="preserve"> </w:t>
      </w:r>
      <w:r>
        <w:rPr>
          <w:rStyle w:val="VerbatimChar"/>
        </w:rPr>
        <w:t xml:space="preserve">--v3</w:t>
      </w:r>
      <w:r>
        <w:t xml:space="preserve"> </w:t>
      </w:r>
      <w:r>
        <w:t xml:space="preserve">flag. The ensemble-vs-default comparison is not stable across seed sets; a pooled analysis across both available seed sets is reported in the competitor comparison section below.</w:t>
      </w:r>
    </w:p>
    <w:p>
      <w:pPr>
        <w:pStyle w:val="BodyText"/>
      </w:pPr>
      <w:r>
        <w:rPr>
          <w:b/>
          <w:bCs/>
        </w:rPr>
        <w:t xml:space="preserve">Table 5. Pipeline-level validation against true tree (n=200, L=1000 bp, sub=0.05, indel=0.02, 30 seeds, all levels complete). All nRF values are TRUE-relative (vs simulated coalescent ground truth). Note: this benchmark uses a coalescent simulation protocol with L=1000 bp, independent of the guide-tree protocol used in Tables 1 and 3 (L=500 bp); absolute nRF values are higher for all methods under this protocol and are not directly comparable across benchmarks. Per-seed data: Supplementary Table S13.</w:t>
      </w:r>
    </w:p>
    <w:tbl>
      <w:tblPr>
        <w:tblStyle w:val="Table"/>
        <w:tblW w:type="pct" w:w="5000"/>
        <w:tblLayout w:type="fixed"/>
        <w:tblLook w:firstRow="1" w:lastRow="0" w:firstColumn="0" w:lastColumn="0" w:noHBand="0" w:noVBand="0" w:val="0020"/>
      </w:tblPr>
      <w:tblGrid>
        <w:gridCol w:w="1289"/>
        <w:gridCol w:w="1473"/>
        <w:gridCol w:w="2026"/>
        <w:gridCol w:w="1657"/>
        <w:gridCol w:w="552"/>
        <w:gridCol w:w="920"/>
      </w:tblGrid>
      <w:tr>
        <w:trPr>
          <w:tblHeader w:val="on"/>
        </w:trPr>
        <w:tc>
          <w:tcPr/>
          <w:p>
            <w:pPr>
              <w:pStyle w:val="Compact"/>
            </w:pPr>
            <w:r>
              <w:t xml:space="preserve">Level</w:t>
            </w:r>
          </w:p>
        </w:tc>
        <w:tc>
          <w:tcPr/>
          <w:p>
            <w:pPr>
              <w:pStyle w:val="Compact"/>
            </w:pPr>
            <w:r>
              <w:t xml:space="preserve">Method</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vs L0 Wilcoxon p ¹</w:t>
            </w:r>
          </w:p>
        </w:tc>
      </w:tr>
      <w:tr>
        <w:tc>
          <w:tcPr/>
          <w:p>
            <w:pPr>
              <w:pStyle w:val="Compact"/>
            </w:pPr>
            <w:r>
              <w:t xml:space="preserve">L0</w:t>
            </w:r>
          </w:p>
        </w:tc>
        <w:tc>
          <w:tcPr/>
          <w:p>
            <w:pPr>
              <w:pStyle w:val="Compact"/>
            </w:pPr>
            <w:r>
              <w:t xml:space="preserve">k-mer k=5 NJ</w:t>
            </w:r>
          </w:p>
        </w:tc>
        <w:tc>
          <w:tcPr/>
          <w:p>
            <w:pPr>
              <w:pStyle w:val="Compact"/>
            </w:pPr>
            <w:r>
              <w:t xml:space="preserve">0.743</w:t>
            </w:r>
          </w:p>
        </w:tc>
        <w:tc>
          <w:tcPr/>
          <w:p>
            <w:pPr>
              <w:pStyle w:val="Compact"/>
            </w:pPr>
            <w:r>
              <w:t xml:space="preserve">0.046</w:t>
            </w:r>
          </w:p>
        </w:tc>
        <w:tc>
          <w:tcPr/>
          <w:p>
            <w:pPr>
              <w:pStyle w:val="Compact"/>
            </w:pPr>
            <w:r>
              <w:t xml:space="preserve">30</w:t>
            </w:r>
          </w:p>
        </w:tc>
        <w:tc>
          <w:tcPr/>
          <w:p>
            <w:pPr>
              <w:pStyle w:val="Compact"/>
              <w:jc w:val="center"/>
            </w:pPr>
            <w:r>
              <w:t xml:space="preserve">baseline</w:t>
            </w:r>
          </w:p>
        </w:tc>
      </w:tr>
      <w:tr>
        <w:tc>
          <w:tcPr/>
          <w:p>
            <w:pPr>
              <w:pStyle w:val="Compact"/>
            </w:pPr>
            <w:r>
              <w:rPr>
                <w:b/>
                <w:bCs/>
              </w:rPr>
              <w:t xml:space="preserve">L1</w:t>
            </w:r>
          </w:p>
        </w:tc>
        <w:tc>
          <w:tcPr/>
          <w:p>
            <w:pPr>
              <w:pStyle w:val="Compact"/>
            </w:pPr>
            <w:r>
              <w:rPr>
                <w:b/>
                <w:bCs/>
              </w:rPr>
              <w:t xml:space="preserve">Multi-k (k=5,7,9) NJ</w:t>
            </w:r>
          </w:p>
        </w:tc>
        <w:tc>
          <w:tcPr/>
          <w:p>
            <w:pPr>
              <w:pStyle w:val="Compact"/>
            </w:pPr>
            <w:r>
              <w:rPr>
                <w:b/>
                <w:bCs/>
              </w:rPr>
              <w:t xml:space="preserve">0.583</w:t>
            </w:r>
          </w:p>
        </w:tc>
        <w:tc>
          <w:tcPr/>
          <w:p>
            <w:pPr>
              <w:pStyle w:val="Compact"/>
            </w:pPr>
            <w:r>
              <w:rPr>
                <w:b/>
                <w:bCs/>
              </w:rPr>
              <w:t xml:space="preserve">0.044</w:t>
            </w:r>
          </w:p>
        </w:tc>
        <w:tc>
          <w:tcPr/>
          <w:p>
            <w:pPr>
              <w:pStyle w:val="Compact"/>
            </w:pPr>
            <w:r>
              <w:rPr>
                <w:b/>
                <w:bCs/>
              </w:rPr>
              <w:t xml:space="preserve">30</w:t>
            </w:r>
          </w:p>
        </w:tc>
        <w:tc>
          <w:tcPr/>
          <w:p>
            <w:pPr>
              <w:pStyle w:val="Compact"/>
              <w:jc w:val="center"/>
            </w:pPr>
            <w:r>
              <w:rPr>
                <w:b/>
                <w:bCs/>
              </w:rPr>
              <w:t xml:space="preserve">&lt; 0.0001</w:t>
            </w:r>
          </w:p>
        </w:tc>
      </w:tr>
      <w:tr>
        <w:tc>
          <w:tcPr/>
          <w:p>
            <w:pPr>
              <w:pStyle w:val="Compact"/>
            </w:pPr>
            <w:r>
              <w:t xml:space="preserve">L3</w:t>
            </w:r>
          </w:p>
        </w:tc>
        <w:tc>
          <w:tcPr/>
          <w:p>
            <w:pPr>
              <w:pStyle w:val="Compact"/>
            </w:pPr>
            <w:r>
              <w:t xml:space="preserve">MAFFT + FastTree2 GTR</w:t>
            </w:r>
          </w:p>
        </w:tc>
        <w:tc>
          <w:tcPr/>
          <w:p>
            <w:pPr>
              <w:pStyle w:val="Compact"/>
            </w:pPr>
            <w:r>
              <w:t xml:space="preserve">0.601</w:t>
            </w:r>
          </w:p>
        </w:tc>
        <w:tc>
          <w:tcPr/>
          <w:p>
            <w:pPr>
              <w:pStyle w:val="Compact"/>
            </w:pPr>
            <w:r>
              <w:t xml:space="preserve">0.055</w:t>
            </w:r>
          </w:p>
        </w:tc>
        <w:tc>
          <w:tcPr/>
          <w:p>
            <w:pPr>
              <w:pStyle w:val="Compact"/>
            </w:pPr>
            <w:r>
              <w:t xml:space="preserve">30</w:t>
            </w:r>
          </w:p>
        </w:tc>
        <w:tc>
          <w:tcPr/>
          <w:p>
            <w:pPr>
              <w:pStyle w:val="Compact"/>
              <w:jc w:val="center"/>
            </w:pPr>
            <w:r>
              <w:t xml:space="preserve">&lt; 0.0001 ²</w:t>
            </w:r>
          </w:p>
        </w:tc>
      </w:tr>
    </w:tbl>
    <w:p>
      <w:pPr>
        <w:pStyle w:val="BodyText"/>
      </w:pPr>
      <w:r>
        <w:t xml:space="preserve">¹ Wilcoxon signed-rank paired test against L0 (single-k NJ) within the same seed.</w:t>
      </w:r>
      <w:r>
        <w:br/>
      </w:r>
      <w:r>
        <w:t xml:space="preserve">² L3 also significantly outperforms L0 (paired Wilcoxon p&lt;0.0001, paired d=3.25); the comparison of primary interest is L1 vs L3 (see text).</w:t>
      </w:r>
    </w:p>
    <w:p>
      <w:pPr>
        <w:pStyle w:val="BodyText"/>
      </w:pPr>
      <w:r>
        <w:t xml:space="preserve">nRF=0: perfect match; nRF=1.0: random tree. nRF = RF / (2(n−3)). All values vs true coalescent tree. L0 and L1 complete across all 30 seeds; L3 complete across all 30 seeds on Linux. L1 vs L0: Wilcoxon signed-rank test p&lt;0.0001, paired Cohen’s d=3.82 (large effect).</w:t>
      </w:r>
    </w:p>
    <w:p>
      <w:pPr>
        <w:pStyle w:val="BodyText"/>
      </w:pPr>
      <w:r>
        <w:t xml:space="preserve">Two key findings emerge from this validation:</w:t>
      </w:r>
    </w:p>
    <w:p>
      <w:pPr>
        <w:numPr>
          <w:ilvl w:val="0"/>
          <w:numId w:val="1002"/>
        </w:numPr>
      </w:pPr>
      <w:r>
        <w:rPr>
          <w:b/>
          <w:bCs/>
        </w:rPr>
        <w:t xml:space="preserve">Multi-k NJ significantly outperforms MSA+ML under this indel-rich coalescent simulation.</w:t>
      </w:r>
      <w:r>
        <w:t xml:space="preserve"> </w:t>
      </w:r>
      <w:r>
        <w:t xml:space="preserve">L1 (multi-k ensemble NJ, nRF=0.583±0.044) achieves lower topological error than L3 (MAFFT+FastTree2, nRF=0.601±0.055) across the full 30-seed comparison: mean per-seed difference −0.018, paired Wilcoxon p=0.024, paired Cohen’s d=−0.45 (small-to-medium effect), with L1 winning 19/30 seeds (63.3%). We note that this comparison is secondary (exploratory) in our statistical framework; after Bonferroni correction across the three pipeline-level pairwise comparisons (adjusted α=0.0167), the result is borderline (adjusted p=0.071). We therefore interpret it as evidence that multi-scale k-mer information captures phylogenetic signal at least at the level of full MSA+ML inference under indel-rich conditions — without ever computing a sequence alignment — rather than as a definitive superiority claim.</w:t>
      </w:r>
    </w:p>
    <w:p>
      <w:pPr>
        <w:numPr>
          <w:ilvl w:val="0"/>
          <w:numId w:val="1002"/>
        </w:numPr>
      </w:pPr>
      <w:r>
        <w:rPr>
          <w:b/>
          <w:bCs/>
        </w:rPr>
        <w:t xml:space="preserve">Multi-k fusion provides a 21.5% relative accuracy improvement over single-k</w:t>
      </w:r>
      <w:r>
        <w:t xml:space="preserve">, reducing nRF from 0.743 to 0.583 — a meaningful gain, though both values reflect substantial topological distance from the true tree (58.3% of bipartitions differ). L1 (nRF=0.583) substantially outperforms L0 (nRF=0.743, p&lt;0.0001, paired d=3.82). The unusually large effect size (paired d=3.82) reflects that single-k (L0) operates near the information ceiling of a single k-mer resolution under heavy indels — the high baseline nRF (0.743) and low variance (σ=0.046 for L0, σ=0.044 for L1) combine to yield d=3.82, indicating that most of the gain comes from resolving splits that are nearly random for single-k but recoverable with multi-scale k-mer information. This validates the multi-k distance ensemble as a core contribution of Fusang’s architecture.</w:t>
      </w:r>
    </w:p>
    <w:p>
      <w:pPr>
        <w:pStyle w:val="FirstParagraph"/>
      </w:pPr>
      <w:r>
        <w:t xml:space="preserve">These results position the multi-k ensemble NJ as a practical alternative to MSA+ML for indel-rich datasets at moderate scales. The trade-off is notable: L1 requires no alignment step and completes in ~15 seconds per seed (vs ~31 seconds for L3 in the same Linux environment, a 2× speedup that grows further at larger scales where MSA cost dominates). Both methods remain substantially distant from the true tree under this deliberately harsh coalescent protocol (nRF≈0.58–0.60), so the practical takeaway is comparable-topology-at-far-lower-cost rather than high absolute accuracy. The L1≈L3 agreement is consistent with the broader pattern of k-mer methods matching MSA accuracy under indels (Tables 1, 3, 4).</w:t>
      </w:r>
    </w:p>
    <w:p>
      <w:pPr>
        <w:pStyle w:val="BodyText"/>
      </w:pPr>
      <w:r>
        <w:rPr>
          <w:b/>
          <w:bCs/>
        </w:rPr>
        <w:t xml:space="preserve">Table 6. Boundary classifier validation (RF V4b, 88 independent test scenarios).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Tree Type</w:t>
            </w:r>
          </w:p>
        </w:tc>
        <w:tc>
          <w:tcPr/>
          <w:p>
            <w:pPr>
              <w:pStyle w:val="Compact"/>
            </w:pPr>
            <w:r>
              <w:t xml:space="preserve">Expected</w:t>
            </w:r>
          </w:p>
        </w:tc>
        <w:tc>
          <w:tcPr/>
          <w:p>
            <w:pPr>
              <w:pStyle w:val="Compact"/>
            </w:pPr>
            <w:r>
              <w:t xml:space="preserve">n</w:t>
            </w:r>
          </w:p>
        </w:tc>
        <w:tc>
          <w:tcPr/>
          <w:p>
            <w:pPr>
              <w:pStyle w:val="Compact"/>
            </w:pPr>
            <w:r>
              <w:t xml:space="preserve">Correct</w:t>
            </w:r>
          </w:p>
        </w:tc>
        <w:tc>
          <w:tcPr/>
          <w:p>
            <w:pPr>
              <w:pStyle w:val="Compact"/>
            </w:pPr>
            <w:r>
              <w:t xml:space="preserve">Accuracy</w:t>
            </w:r>
          </w:p>
        </w:tc>
        <w:tc>
          <w:tcPr/>
          <w:p>
            <w:pPr>
              <w:pStyle w:val="Compact"/>
            </w:pPr>
            <w:r>
              <w:t xml:space="preserve">Wilson 95% CI</w:t>
            </w:r>
          </w:p>
        </w:tc>
      </w:tr>
      <w:tr>
        <w:tc>
          <w:tcPr/>
          <w:p>
            <w:pPr>
              <w:pStyle w:val="Compact"/>
            </w:pPr>
            <w:r>
              <w:t xml:space="preserve">Coalescent</w:t>
            </w:r>
          </w:p>
        </w:tc>
        <w:tc>
          <w:tcPr/>
          <w:p>
            <w:pPr>
              <w:pStyle w:val="Compact"/>
            </w:pPr>
            <w:r>
              <w:t xml:space="preserve">STOP</w:t>
            </w:r>
          </w:p>
        </w:tc>
        <w:tc>
          <w:tcPr/>
          <w:p>
            <w:pPr>
              <w:pStyle w:val="Compact"/>
            </w:pPr>
            <w:r>
              <w:t xml:space="preserve">13</w:t>
            </w:r>
          </w:p>
        </w:tc>
        <w:tc>
          <w:tcPr/>
          <w:p>
            <w:pPr>
              <w:pStyle w:val="Compact"/>
            </w:pPr>
            <w:r>
              <w:t xml:space="preserve">13</w:t>
            </w:r>
          </w:p>
        </w:tc>
        <w:tc>
          <w:tcPr/>
          <w:p>
            <w:pPr>
              <w:pStyle w:val="Compact"/>
            </w:pPr>
            <w:r>
              <w:t xml:space="preserve">100%</w:t>
            </w:r>
          </w:p>
        </w:tc>
        <w:tc>
          <w:tcPr/>
          <w:p>
            <w:pPr>
              <w:pStyle w:val="Compact"/>
            </w:pPr>
            <w:r>
              <w:t xml:space="preserve">[0.772, 1.000]</w:t>
            </w:r>
          </w:p>
        </w:tc>
      </w:tr>
      <w:tr>
        <w:tc>
          <w:tcPr/>
          <w:p>
            <w:pPr>
              <w:pStyle w:val="Compact"/>
            </w:pPr>
            <w:r>
              <w:t xml:space="preserve">Structured</w:t>
            </w:r>
          </w:p>
        </w:tc>
        <w:tc>
          <w:tcPr/>
          <w:p>
            <w:pPr>
              <w:pStyle w:val="Compact"/>
            </w:pPr>
            <w:r>
              <w:t xml:space="preserve">SPLIT</w:t>
            </w:r>
          </w:p>
        </w:tc>
        <w:tc>
          <w:tcPr/>
          <w:p>
            <w:pPr>
              <w:pStyle w:val="Compact"/>
            </w:pPr>
            <w:r>
              <w:t xml:space="preserve">75</w:t>
            </w:r>
          </w:p>
        </w:tc>
        <w:tc>
          <w:tcPr/>
          <w:p>
            <w:pPr>
              <w:pStyle w:val="Compact"/>
            </w:pPr>
            <w:r>
              <w:t xml:space="preserve">75</w:t>
            </w:r>
          </w:p>
        </w:tc>
        <w:tc>
          <w:tcPr/>
          <w:p>
            <w:pPr>
              <w:pStyle w:val="Compact"/>
            </w:pPr>
            <w:r>
              <w:t xml:space="preserve">100%</w:t>
            </w:r>
          </w:p>
        </w:tc>
        <w:tc>
          <w:tcPr/>
          <w:p>
            <w:pPr>
              <w:pStyle w:val="Compact"/>
            </w:pPr>
            <w:r>
              <w:t xml:space="preserve">[0.951, 1.000]</w:t>
            </w:r>
          </w:p>
        </w:tc>
      </w:tr>
      <w:tr>
        <w:tc>
          <w:tcPr/>
          <w:p>
            <w:pPr>
              <w:pStyle w:val="Compact"/>
            </w:pPr>
            <w:r>
              <w:rPr>
                <w:b/>
                <w:bCs/>
              </w:rPr>
              <w:t xml:space="preserve">Overall</w:t>
            </w:r>
          </w:p>
        </w:tc>
        <w:tc>
          <w:tcPr/>
          <w:p>
            <w:pPr>
              <w:pStyle w:val="Compact"/>
            </w:pPr>
            <w:r>
              <w:t xml:space="preserve">—</w:t>
            </w:r>
          </w:p>
        </w:tc>
        <w:tc>
          <w:tcPr/>
          <w:p>
            <w:pPr>
              <w:pStyle w:val="Compact"/>
            </w:pPr>
            <w:r>
              <w:rPr>
                <w:b/>
                <w:bCs/>
              </w:rPr>
              <w:t xml:space="preserve">88</w:t>
            </w:r>
          </w:p>
        </w:tc>
        <w:tc>
          <w:tcPr/>
          <w:p>
            <w:pPr>
              <w:pStyle w:val="Compact"/>
            </w:pPr>
            <w:r>
              <w:rPr>
                <w:b/>
                <w:bCs/>
              </w:rPr>
              <w:t xml:space="preserve">88</w:t>
            </w:r>
          </w:p>
        </w:tc>
        <w:tc>
          <w:tcPr/>
          <w:p>
            <w:pPr>
              <w:pStyle w:val="Compact"/>
            </w:pPr>
            <w:r>
              <w:rPr>
                <w:b/>
                <w:bCs/>
              </w:rPr>
              <w:t xml:space="preserve">100%</w:t>
            </w:r>
          </w:p>
        </w:tc>
        <w:tc>
          <w:tcPr/>
          <w:p>
            <w:pPr>
              <w:pStyle w:val="Compact"/>
            </w:pPr>
            <w:r>
              <w:rPr>
                <w:b/>
                <w:bCs/>
              </w:rPr>
              <w:t xml:space="preserve">[0.958, 1.000]</w:t>
            </w:r>
          </w:p>
        </w:tc>
      </w:tr>
    </w:tbl>
    <w:p>
      <w:pPr>
        <w:pStyle w:val="BodyText"/>
      </w:pPr>
      <w:r>
        <w:t xml:space="preserve">The classifier achieved perfect accuracy on both scenario types: it never incorrectly triggered splitting on homogeneous coalescent data (0% false positive rate across 13 scenarios) and never failed to split on structured data (0% false negative rate across 75 scenarios). The Wilson binomial confidence interval [0.958, 1.000] for the overall accuracy indicates that the true population accuracy is at least 95.8% with 95% confidence.</w:t>
      </w:r>
    </w:p>
    <w:p>
      <w:pPr>
        <w:pStyle w:val="BodyText"/>
      </w:pPr>
      <w:r>
        <w:t xml:space="preserve">This validation addresses a critical concern in multi-layer phylogenetic pipelines: over-splitting of datasets that lack genuine phylogenetic structure. The random forest’s ability to distinguish coalescent noise from structured signal — using features derived from k-mer distances, cluster size, and tree topology — prevents the pipeline from introducing spurious subdivisions that would degrade downstream accuracy. The perfect performance across 88 diverse simulated scenarios provides strong evidence that the boundary classifier generalizes beyond its training distribution. We note that test accuracy (100%) exceeds cross-validation performance on the training set (ROC-AUC=0.84); this gap likely reflects that the E2E test scenarios occupy well-separated regions of the parameter space (purely homogeneous coalescent vs clearly structured phylogenies), and performance on borderline scenarios near the STOP/SPLIT decision boundary may be lower. We note that all test scenarios were generated using the same simulation engine (INDELible); validation on real biological datasets with known phylogenetic structure would further strengthen generalizability claims, though the diversity of simulation parameters (coalescent, structured, multiple substitution rates) provides meaningful coverage.</w:t>
      </w:r>
    </w:p>
    <w:p>
      <w:pPr>
        <w:pStyle w:val="BodyText"/>
      </w:pPr>
      <w:r>
        <w:rPr>
          <w:b/>
          <w:bCs/>
        </w:rPr>
        <w:t xml:space="preserve">Table 7. Alignment-free method comparison on indel-rich data (n=200, sub=0.05, indel=0.02, 27 seeds, seed set 100–126, FT2 reference). All nRF values are FT2-relative.</w:t>
      </w:r>
    </w:p>
    <w:tbl>
      <w:tblPr>
        <w:tblStyle w:val="Table"/>
        <w:tblW w:type="pct" w:w="5000"/>
        <w:tblLayout w:type="fixed"/>
        <w:tblLook w:firstRow="1" w:lastRow="0" w:firstColumn="0" w:lastColumn="0" w:noHBand="0" w:noVBand="0" w:val="0020"/>
      </w:tblPr>
      <w:tblGrid>
        <w:gridCol w:w="1624"/>
        <w:gridCol w:w="1218"/>
        <w:gridCol w:w="2233"/>
        <w:gridCol w:w="1827"/>
        <w:gridCol w:w="1015"/>
      </w:tblGrid>
      <w:tr>
        <w:trPr>
          <w:tblHeader w:val="on"/>
        </w:trPr>
        <w:tc>
          <w:tcPr/>
          <w:p>
            <w:pPr>
              <w:pStyle w:val="Compact"/>
            </w:pPr>
            <w:r>
              <w:t xml:space="preserve">Method</w:t>
            </w:r>
          </w:p>
        </w:tc>
        <w:tc>
          <w:tcPr/>
          <w:p>
            <w:pPr>
              <w:pStyle w:val="Compact"/>
            </w:pPr>
            <w:r>
              <w:t xml:space="preserve">Type</w:t>
            </w:r>
          </w:p>
        </w:tc>
        <w:tc>
          <w:tcPr/>
          <w:p>
            <w:pPr>
              <w:pStyle w:val="Compact"/>
            </w:pPr>
            <w:r>
              <w:t xml:space="preserve">Mean nRF ↓</w:t>
            </w:r>
          </w:p>
        </w:tc>
        <w:tc>
          <w:tcPr/>
          <w:p>
            <w:pPr>
              <w:pStyle w:val="Compact"/>
            </w:pPr>
            <w:r>
              <w:t xml:space="preserve">Std Dev</w:t>
            </w:r>
          </w:p>
        </w:tc>
        <w:tc>
          <w:tcPr/>
          <w:p>
            <w:pPr>
              <w:pStyle w:val="Compact"/>
              <w:jc w:val="center"/>
            </w:pPr>
            <w:r>
              <w:t xml:space="preserve">vs Fusang (gap2)</w:t>
            </w:r>
          </w:p>
        </w:tc>
      </w:tr>
      <w:tr>
        <w:tc>
          <w:tcPr/>
          <w:p>
            <w:pPr>
              <w:pStyle w:val="Compact"/>
            </w:pPr>
            <w:r>
              <w:rPr>
                <w:b/>
                <w:bCs/>
              </w:rPr>
              <w:t xml:space="preserve">Co-phylog</w:t>
            </w:r>
            <w:r>
              <w:t xml:space="preserve"> </w:t>
            </w:r>
            <w:r>
              <w:t xml:space="preserve">(Yi &amp; Jin 2013)</w:t>
            </w:r>
          </w:p>
        </w:tc>
        <w:tc>
          <w:tcPr/>
          <w:p>
            <w:pPr>
              <w:pStyle w:val="Compact"/>
            </w:pPr>
            <w:r>
              <w:t xml:space="preserve">Context-object, k=19</w:t>
            </w:r>
          </w:p>
        </w:tc>
        <w:tc>
          <w:tcPr/>
          <w:p>
            <w:pPr>
              <w:pStyle w:val="Compact"/>
            </w:pPr>
            <w:r>
              <w:rPr>
                <w:b/>
                <w:bCs/>
              </w:rPr>
              <w:t xml:space="preserve">0.408</w:t>
            </w:r>
          </w:p>
        </w:tc>
        <w:tc>
          <w:tcPr/>
          <w:p>
            <w:pPr>
              <w:pStyle w:val="Compact"/>
            </w:pPr>
            <w:r>
              <w:t xml:space="preserve">0.021</w:t>
            </w:r>
          </w:p>
        </w:tc>
        <w:tc>
          <w:tcPr/>
          <w:p>
            <w:pPr>
              <w:pStyle w:val="Compact"/>
              <w:jc w:val="center"/>
            </w:pPr>
            <w:r>
              <w:t xml:space="preserve">3.8× worse (p=5.6×10⁻⁶)</w:t>
            </w:r>
          </w:p>
        </w:tc>
      </w:tr>
      <w:tr>
        <w:tc>
          <w:tcPr/>
          <w:p>
            <w:pPr>
              <w:pStyle w:val="Compact"/>
            </w:pPr>
            <w:r>
              <w:rPr>
                <w:b/>
                <w:bCs/>
              </w:rPr>
              <w:t xml:space="preserve">kmacs</w:t>
            </w:r>
            <w:r>
              <w:t xml:space="preserve"> </w:t>
            </w:r>
            <w:r>
              <w:t xml:space="preserve">(Leimeister &amp; Morgenstern 2014)</w:t>
            </w:r>
          </w:p>
        </w:tc>
        <w:tc>
          <w:tcPr/>
          <w:p>
            <w:pPr>
              <w:pStyle w:val="Compact"/>
            </w:pPr>
            <w:r>
              <w:t xml:space="preserve">k-mismatch ACS, k=3</w:t>
            </w:r>
          </w:p>
        </w:tc>
        <w:tc>
          <w:tcPr/>
          <w:p>
            <w:pPr>
              <w:pStyle w:val="Compact"/>
            </w:pPr>
            <w:r>
              <w:rPr>
                <w:b/>
                <w:bCs/>
              </w:rPr>
              <w:t xml:space="preserve">0.177</w:t>
            </w:r>
          </w:p>
        </w:tc>
        <w:tc>
          <w:tcPr/>
          <w:p>
            <w:pPr>
              <w:pStyle w:val="Compact"/>
            </w:pPr>
            <w:r>
              <w:t xml:space="preserve">0.024</w:t>
            </w:r>
          </w:p>
        </w:tc>
        <w:tc>
          <w:tcPr/>
          <w:p>
            <w:pPr>
              <w:pStyle w:val="Compact"/>
              <w:jc w:val="center"/>
            </w:pPr>
            <w:r>
              <w:t xml:space="preserve">1.6× worse (p=5.6×10⁻⁶)</w:t>
            </w:r>
          </w:p>
        </w:tc>
      </w:tr>
      <w:tr>
        <w:tc>
          <w:tcPr/>
          <w:p>
            <w:pPr>
              <w:pStyle w:val="Compact"/>
            </w:pPr>
            <w:r>
              <w:rPr>
                <w:b/>
                <w:bCs/>
              </w:rPr>
              <w:t xml:space="preserve">K-mer cosine k=5</w:t>
            </w:r>
            <w:r>
              <w:t xml:space="preserve"> </w:t>
            </w:r>
            <w:r>
              <w:t xml:space="preserve">(contiguous)</w:t>
            </w:r>
          </w:p>
        </w:tc>
        <w:tc>
          <w:tcPr/>
          <w:p>
            <w:pPr>
              <w:pStyle w:val="Compact"/>
            </w:pPr>
            <w:r>
              <w:t xml:space="preserve">Frequency vector</w:t>
            </w:r>
          </w:p>
        </w:tc>
        <w:tc>
          <w:tcPr/>
          <w:p>
            <w:pPr>
              <w:pStyle w:val="Compact"/>
            </w:pPr>
            <w:r>
              <w:rPr>
                <w:b/>
                <w:bCs/>
              </w:rPr>
              <w:t xml:space="preserve">0.104</w:t>
            </w:r>
          </w:p>
        </w:tc>
        <w:tc>
          <w:tcPr/>
          <w:p>
            <w:pPr>
              <w:pStyle w:val="Compact"/>
            </w:pPr>
            <w:r>
              <w:t xml:space="preserve">0.018</w:t>
            </w:r>
          </w:p>
        </w:tc>
        <w:tc>
          <w:tcPr/>
          <w:p>
            <w:pPr>
              <w:pStyle w:val="Compact"/>
              <w:jc w:val="center"/>
            </w:pPr>
            <w:r>
              <w:t xml:space="preserve">comparable (n.s.)</w:t>
            </w:r>
          </w:p>
        </w:tc>
      </w:tr>
      <w:tr>
        <w:tc>
          <w:tcPr/>
          <w:p>
            <w:pPr>
              <w:pStyle w:val="Compact"/>
            </w:pPr>
            <w:r>
              <w:rPr>
                <w:b/>
                <w:bCs/>
              </w:rPr>
              <w:t xml:space="preserve">K-mer cosine k=7</w:t>
            </w:r>
            <w:r>
              <w:t xml:space="preserve"> </w:t>
            </w:r>
            <w:r>
              <w:t xml:space="preserve">(contiguous)</w:t>
            </w:r>
          </w:p>
        </w:tc>
        <w:tc>
          <w:tcPr/>
          <w:p>
            <w:pPr>
              <w:pStyle w:val="Compact"/>
            </w:pPr>
            <w:r>
              <w:t xml:space="preserve">Frequency vector</w:t>
            </w:r>
          </w:p>
        </w:tc>
        <w:tc>
          <w:tcPr/>
          <w:p>
            <w:pPr>
              <w:pStyle w:val="Compact"/>
            </w:pPr>
            <w:r>
              <w:rPr>
                <w:b/>
                <w:bCs/>
              </w:rPr>
              <w:t xml:space="preserve">0.107</w:t>
            </w:r>
          </w:p>
        </w:tc>
        <w:tc>
          <w:tcPr/>
          <w:p>
            <w:pPr>
              <w:pStyle w:val="Compact"/>
            </w:pPr>
            <w:r>
              <w:t xml:space="preserve">0.019</w:t>
            </w:r>
          </w:p>
        </w:tc>
        <w:tc>
          <w:tcPr/>
          <w:p>
            <w:pPr>
              <w:pStyle w:val="Compact"/>
              <w:jc w:val="center"/>
            </w:pPr>
            <w:r>
              <w:t xml:space="preserve">comparable (n.s.)</w:t>
            </w:r>
          </w:p>
        </w:tc>
      </w:tr>
      <w:tr>
        <w:tc>
          <w:tcPr/>
          <w:p>
            <w:pPr>
              <w:pStyle w:val="Compact"/>
            </w:pPr>
            <w:r>
              <w:rPr>
                <w:b/>
                <w:bCs/>
              </w:rPr>
              <w:t xml:space="preserve">Fusang</w:t>
            </w:r>
            <w:r>
              <w:t xml:space="preserve"> </w:t>
            </w:r>
            <w:r>
              <w:t xml:space="preserve">(k=5,gap2, spaced)</w:t>
            </w:r>
          </w:p>
        </w:tc>
        <w:tc>
          <w:tcPr/>
          <w:p>
            <w:pPr>
              <w:pStyle w:val="Compact"/>
            </w:pPr>
            <w:r>
              <w:t xml:space="preserve">Spaced k-mer</w:t>
            </w:r>
          </w:p>
        </w:tc>
        <w:tc>
          <w:tcPr/>
          <w:p>
            <w:pPr>
              <w:pStyle w:val="Compact"/>
            </w:pPr>
            <w:r>
              <w:rPr>
                <w:b/>
                <w:bCs/>
              </w:rPr>
              <w:t xml:space="preserve">0.108</w:t>
            </w:r>
          </w:p>
        </w:tc>
        <w:tc>
          <w:tcPr/>
          <w:p>
            <w:pPr>
              <w:pStyle w:val="Compact"/>
            </w:pPr>
            <w:r>
              <w:t xml:space="preserve">0.020</w:t>
            </w:r>
          </w:p>
        </w:tc>
        <w:tc>
          <w:tcPr/>
          <w:p>
            <w:pPr>
              <w:pStyle w:val="Compact"/>
              <w:jc w:val="center"/>
            </w:pPr>
            <w:r>
              <w:t xml:space="preserve">—</w:t>
            </w:r>
          </w:p>
        </w:tc>
      </w:tr>
      <w:tr>
        <w:tc>
          <w:tcPr/>
          <w:p>
            <w:pPr>
              <w:pStyle w:val="Compact"/>
            </w:pPr>
            <w:r>
              <w:rPr>
                <w:b/>
                <w:bCs/>
              </w:rPr>
              <w:t xml:space="preserve">Fusang</w:t>
            </w:r>
            <w:r>
              <w:t xml:space="preserve"> </w:t>
            </w:r>
            <w:r>
              <w:t xml:space="preserve">multi-k ensemble</w:t>
            </w:r>
          </w:p>
        </w:tc>
        <w:tc>
          <w:tcPr/>
          <w:p>
            <w:pPr>
              <w:pStyle w:val="Compact"/>
            </w:pPr>
            <w:r>
              <w:t xml:space="preserve">Multi-k contiguous (k=5,7,9 avg)</w:t>
            </w:r>
          </w:p>
        </w:tc>
        <w:tc>
          <w:tcPr/>
          <w:p>
            <w:pPr>
              <w:pStyle w:val="Compact"/>
            </w:pPr>
            <w:r>
              <w:rPr>
                <w:b/>
                <w:bCs/>
              </w:rPr>
              <w:t xml:space="preserve">0.111</w:t>
            </w:r>
          </w:p>
        </w:tc>
        <w:tc>
          <w:tcPr/>
          <w:p>
            <w:pPr>
              <w:pStyle w:val="Compact"/>
            </w:pPr>
            <w:r>
              <w:t xml:space="preserve">0.018</w:t>
            </w:r>
          </w:p>
        </w:tc>
        <w:tc>
          <w:tcPr/>
          <w:p>
            <w:pPr>
              <w:pStyle w:val="Compact"/>
              <w:jc w:val="center"/>
            </w:pPr>
            <w:r>
              <w:t xml:space="preserve">comparable (n.s.)</w:t>
            </w:r>
          </w:p>
        </w:tc>
      </w:tr>
      <w:tr>
        <w:tc>
          <w:tcPr/>
          <w:p>
            <w:pPr>
              <w:pStyle w:val="Compact"/>
            </w:pPr>
            <w:r>
              <w:t xml:space="preserve">FastTree2 (MSA-based)</w:t>
            </w:r>
          </w:p>
        </w:tc>
        <w:tc>
          <w:tcPr/>
          <w:p>
            <w:pPr>
              <w:pStyle w:val="Compact"/>
            </w:pPr>
            <w:r>
              <w:t xml:space="preserve">MSA + ML</w:t>
            </w:r>
          </w:p>
        </w:tc>
        <w:tc>
          <w:tcPr/>
          <w:p>
            <w:pPr>
              <w:pStyle w:val="Compact"/>
            </w:pPr>
            <w:r>
              <w:rPr>
                <w:b/>
                <w:bCs/>
              </w:rPr>
              <w:t xml:space="preserve">0.000</w:t>
            </w:r>
          </w:p>
        </w:tc>
        <w:tc>
          <w:tcPr/>
          <w:p>
            <w:pPr>
              <w:pStyle w:val="Compact"/>
            </w:pPr>
            <w:r>
              <w:t xml:space="preserve">—</w:t>
            </w:r>
          </w:p>
        </w:tc>
        <w:tc>
          <w:tcPr/>
          <w:p>
            <w:pPr>
              <w:pStyle w:val="Compact"/>
              <w:jc w:val="center"/>
            </w:pPr>
            <w:r>
              <w:t xml:space="preserve">reference</w:t>
            </w:r>
          </w:p>
        </w:tc>
      </w:tr>
    </w:tbl>
    <w:p>
      <w:pPr>
        <w:pStyle w:val="BodyText"/>
      </w:pPr>
      <w:r>
        <w:t xml:space="preserve">nRF=0: perfect match; nRF=1.0: random tree. All alignment-free methods use NJ (BioPython) for tree construction. Wilcoxon signed-rank tests vs Fusang: Co-phylog p=5.6×10⁻⁶ (paired Cohen’s d=11.91), kmacs p=5.6×10⁻⁶ (paired d=2.54), k-mer cosine k=5 p=0.26 (paired d=−0.21), k=7 p=0.99 (paired d=−0.04), multi-k ensemble p=0.30 (paired d=+0.22). Normalization: max_rf = 2(n−3). All Cohen’s d values are paired (d = per-seed mean difference / per-seed SD of differences), which accounts for per-seed covariance; the independent-samples formula computed from group summary statistics yields different numeric values and is not appropriate for paired experimental designs. The d=11.91 value for Co-phylog should be interpreted as indicating near-deterministic superiority on every seed rather than a proportionally larger effect (d&gt;2 is conventionally</w:t>
      </w:r>
      <w:r>
        <w:t xml:space="preserve"> </w:t>
      </w:r>
      <w:r>
        <w:t xml:space="preserve">“very large”</w:t>
      </w:r>
      <w:r>
        <w:t xml:space="preserve">).</w:t>
      </w:r>
    </w:p>
    <w:p>
      <w:pPr>
        <w:pStyle w:val="BodyText"/>
      </w:pPr>
      <w:r>
        <w:t xml:space="preserve">Three key findings emerge from this comparison:</w:t>
      </w:r>
    </w:p>
    <w:p>
      <w:pPr>
        <w:numPr>
          <w:ilvl w:val="0"/>
          <w:numId w:val="1003"/>
        </w:numPr>
      </w:pPr>
      <w:r>
        <w:rPr>
          <w:b/>
          <w:bCs/>
        </w:rPr>
        <w:t xml:space="preserve">Co-phylog fails under indel-rich conditions.</w:t>
      </w:r>
      <w:r>
        <w:t xml:space="preserve"> </w:t>
      </w:r>
      <w:r>
        <w:t xml:space="preserve">Co-phylog’s context-object approach (k=19) produces substantially worse trees (mean nRF=0.408, 3.8× worse than Fusang, p=5.6×10⁻⁶) on indel-rich data. The method relies on finding conserved 18-bp flanking contexts around individual positions; indels disrupt these contexts, causing significant loss of phylogenetic signal. This is a fundamental limitation of context-matching approaches when sequences contain insertions and deletions — precisely the conditions under which alignment-free methods are most needed. (Co-phylog results are from our Python reimplementation, Supplementary Note S4; on the fish benchmark — see Real genome benchmarks below — the reimplementation slightly exceeds the published configuration’s accuracy, indicating the reimplementation is not disadvantaged relative to the original; the DNA conclusion here is therefore conservative in direction.)</w:t>
      </w:r>
    </w:p>
    <w:p>
      <w:pPr>
        <w:numPr>
          <w:ilvl w:val="0"/>
          <w:numId w:val="1003"/>
        </w:numPr>
      </w:pPr>
      <w:r>
        <w:rPr>
          <w:b/>
          <w:bCs/>
        </w:rPr>
        <w:t xml:space="preserve">kmacs, the closest classical relative of our approach, is significantly less accurate under indels.</w:t>
      </w:r>
      <w:r>
        <w:t xml:space="preserve"> </w:t>
      </w:r>
      <w:r>
        <w:t xml:space="preserve">kmacs extends the average common substring (ACS) approach with k-mismatch matching, making it the most directly comparable classical method. We scanned k∈{3,5,10} and found accuracy degrades monotonically with increasing k (vs FT2: k=3 0.177, k=5 0.224, k=10 0.272); we report the best configuration (k=3). Even at its best, kmacs achieves nRF=0.177±0.024 vs FT2 (TRUE-relative: 0.168±0.022), significantly worse than Fusang (paired Wilcoxon p=5.6×10⁻⁶, paired d=2.54) — though far more robust than Co-phylog (0.408). Substring-matching distances are sensitive to indel-disrupted substring sharing even with k-mismatch tolerance, whereas k-mer frequency vectors degrade gracefully because indels perturb frequencies rather than destroy matches.</w:t>
      </w:r>
    </w:p>
    <w:p>
      <w:pPr>
        <w:numPr>
          <w:ilvl w:val="0"/>
          <w:numId w:val="1003"/>
        </w:numPr>
      </w:pPr>
      <w:r>
        <w:rPr>
          <w:b/>
          <w:bCs/>
        </w:rPr>
        <w:t xml:space="preserve">Simple k-mer cosine distances show no significant difference from spaced k-mers.</w:t>
      </w:r>
      <w:r>
        <w:t xml:space="preserve"> </w:t>
      </w:r>
      <w:r>
        <w:t xml:space="preserve">Standard contiguous k-mer cosine distance (k=5 or k=7) achieves nRF≈0.10–0.11, with no significant difference from Fusang’s spaced k-mer configuration (k=5: 0.104 vs 0.108, p=0.26, paired d=−0.21). With n=27, power to detect a medium effect (d=0.5) is approximately 0.73, so equivalence should not be inferred from the non-significant result. At the tested indel rate (0.02), the spaced k-mer gap pattern provides no detected advantage over contiguous k-mers on this DNA benchmark — consistent with the protein-domain result (p=0.31; see Cross-domain validation below). The spaced k-mer advantage may be more pronounced at higher indel rates or with longer gaps.</w:t>
      </w:r>
    </w:p>
    <w:p>
      <w:pPr>
        <w:pStyle w:val="FirstParagraph"/>
      </w:pPr>
      <w:r>
        <w:rPr>
          <w:b/>
          <w:bCs/>
        </w:rPr>
        <w:t xml:space="preserve">Reproducibility of the ensemble effect across seed sets.</w:t>
      </w:r>
      <w:r>
        <w:t xml:space="preserve"> </w:t>
      </w:r>
      <w:r>
        <w:t xml:space="preserve">On this 27-seed seed set the multi-k ensemble is likewise statistically indistinguishable from the default spaced configuration (0.111 vs 0.108, paired d=+0.22, p=0.30) — the opposite sign from the 30-seed benchmark of Table 4 (d=−0.53, p=0.006; heterogeneity between the two seed sets’ effect sizes: z≈−2.8, p≈0.005). Pooling all 57 seeds from both sets, the ensemble-vs-default difference is not significant (mean per-seed difference −0.003, paired d=−0.17, 95% CI [−0.45, 0.09], Wilcoxon p=0.19; ensemble wins 32/57). We therefore do not claim a general accuracy advantage of the multi-k ensemble over the default spaced configuration at L=500 bp. The ensemble’s established benefits are (i) the large single-k→multi-k gain under the L=1000 bp coalescent protocol (Table 5, d=3.82, p&lt;0.0001) and (ii) the automatic rescue of the saturating gene-scale default at genome scale (see Real genome benchmarks below).</w:t>
      </w:r>
    </w:p>
    <w:p>
      <w:pPr>
        <w:pStyle w:val="BodyText"/>
      </w:pPr>
      <w:r>
        <w:rPr>
          <w:b/>
          <w:bCs/>
        </w:rPr>
        <w:t xml:space="preserve">Regarding andi</w:t>
      </w:r>
      <w:r>
        <w:t xml:space="preserve"> </w:t>
      </w:r>
      <w:r>
        <w:t xml:space="preserve">[25]: andi uses suffix-array-based anchor distances designed for genome-scale sequences (&gt;10kb). On gene-length sequences (~500bp), andi’s anchor-finding mechanism has insufficient MUMs for reliable distance estimation, producing near-random trees (nRF≈0.52, single seed test). This is consistent with andi’s intended application to bacterial genome phylogenomics and does not reflect a methodological weakness. We note that andi and Co-phylog represent fundamentally different alignment-free paradigms — suffix-array anchors and context-object matching, respectively — and neither is directly comparable to Fusang’s k-mer frequency vector approach in both methodology and intended scale.</w:t>
      </w:r>
    </w:p>
    <w:p>
      <w:pPr>
        <w:pStyle w:val="BodyText"/>
      </w:pPr>
      <w:r>
        <w:rPr>
          <w:b/>
          <w:bCs/>
        </w:rPr>
        <w:t xml:space="preserve">Regarding Skmer</w:t>
      </w:r>
      <w:r>
        <w:t xml:space="preserve"> </w:t>
      </w:r>
      <w:r>
        <w:t xml:space="preserve">[29]: Skmer v3.3.0 estimates distances from genome skims through a k-mer depth-spectrum coverage and error-correction model. On 500-bp single-gene inputs (all 27 seeds, tested at the default k=31 and at k=21), its coverage estimator fails with a division-by-zero error in every case: at gene length each k-mer occurs approximately once, producing a degenerate depth histogram on which the coverage model cannot operate, and no distance matrix can be computed. Skmer is thus structurally inapplicable to gene-length phylogenetic inference — an outcome parallel to andi, whose suffix-array anchors likewise require genome-scale input. Both cases reflect design-domain mismatches rather than methodological weaknesses.</w:t>
      </w:r>
    </w:p>
    <w:p>
      <w:pPr>
        <w:pStyle w:val="BodyText"/>
      </w:pPr>
      <w:r>
        <w:rPr>
          <w:b/>
          <w:bCs/>
        </w:rPr>
        <w:t xml:space="preserve">Table 8. Optimal parameters and nRF stability across dataset scales.</w:t>
      </w:r>
    </w:p>
    <w:tbl>
      <w:tblPr>
        <w:tblStyle w:val="Table"/>
        <w:tblW w:type="pct" w:w="5000"/>
        <w:tblLayout w:type="fixed"/>
        <w:tblLook w:firstRow="1" w:lastRow="0" w:firstColumn="0" w:lastColumn="0" w:noHBand="0" w:noVBand="0" w:val="0020"/>
      </w:tblPr>
      <w:tblGrid>
        <w:gridCol w:w="642"/>
        <w:gridCol w:w="1070"/>
        <w:gridCol w:w="2568"/>
        <w:gridCol w:w="2140"/>
        <w:gridCol w:w="1498"/>
      </w:tblGrid>
      <w:tr>
        <w:trPr>
          <w:tblHeader w:val="on"/>
        </w:trPr>
        <w:tc>
          <w:tcPr/>
          <w:p>
            <w:pPr>
              <w:pStyle w:val="Compact"/>
            </w:pPr>
            <w:r>
              <w:t xml:space="preserve">n</w:t>
            </w:r>
          </w:p>
        </w:tc>
        <w:tc>
          <w:tcPr/>
          <w:p>
            <w:pPr>
              <w:pStyle w:val="Compact"/>
              <w:jc w:val="center"/>
            </w:pPr>
            <w:r>
              <w:t xml:space="preserve">Adaptive (k,gap)</w:t>
            </w:r>
          </w:p>
        </w:tc>
        <w:tc>
          <w:tcPr/>
          <w:p>
            <w:pPr>
              <w:pStyle w:val="Compact"/>
            </w:pPr>
            <w:r>
              <w:t xml:space="preserve">Fusang nRF (clean)</w:t>
            </w:r>
          </w:p>
        </w:tc>
        <w:tc>
          <w:tcPr/>
          <w:p>
            <w:pPr>
              <w:pStyle w:val="Compact"/>
            </w:pPr>
            <w:r>
              <w:t xml:space="preserve">FT2 nRF (clean)</w:t>
            </w:r>
          </w:p>
        </w:tc>
        <w:tc>
          <w:tcPr/>
          <w:p>
            <w:pPr>
              <w:pStyle w:val="Compact"/>
            </w:pPr>
            <w:r>
              <w:t xml:space="preserve">Notes</w:t>
            </w:r>
          </w:p>
        </w:tc>
      </w:tr>
      <w:tr>
        <w:tc>
          <w:tcPr/>
          <w:p>
            <w:pPr>
              <w:pStyle w:val="Compact"/>
            </w:pPr>
            <w:r>
              <w:t xml:space="preserve">50</w:t>
            </w:r>
          </w:p>
        </w:tc>
        <w:tc>
          <w:tcPr/>
          <w:p>
            <w:pPr>
              <w:pStyle w:val="Compact"/>
              <w:jc w:val="center"/>
            </w:pPr>
            <w:r>
              <w:t xml:space="preserve">4,gap1</w:t>
            </w:r>
          </w:p>
        </w:tc>
        <w:tc>
          <w:tcPr/>
          <w:p>
            <w:pPr>
              <w:pStyle w:val="Compact"/>
            </w:pPr>
            <w:r>
              <w:t xml:space="preserve">0.102 ± 0.020</w:t>
            </w:r>
          </w:p>
        </w:tc>
        <w:tc>
          <w:tcPr/>
          <w:p>
            <w:pPr>
              <w:pStyle w:val="Compact"/>
            </w:pPr>
            <w:r>
              <w:t xml:space="preserve">0.095 ± 0.018</w:t>
            </w:r>
          </w:p>
        </w:tc>
        <w:tc>
          <w:tcPr/>
          <w:p>
            <w:pPr>
              <w:pStyle w:val="Compact"/>
            </w:pPr>
            <w:r>
              <w:t xml:space="preserve">Comparable</w:t>
            </w:r>
          </w:p>
        </w:tc>
      </w:tr>
      <w:tr>
        <w:tc>
          <w:tcPr/>
          <w:p>
            <w:pPr>
              <w:pStyle w:val="Compact"/>
            </w:pPr>
            <w:r>
              <w:t xml:space="preserve">100</w:t>
            </w:r>
          </w:p>
        </w:tc>
        <w:tc>
          <w:tcPr/>
          <w:p>
            <w:pPr>
              <w:pStyle w:val="Compact"/>
              <w:jc w:val="center"/>
            </w:pPr>
            <w:r>
              <w:t xml:space="preserve">5,gap2</w:t>
            </w:r>
          </w:p>
        </w:tc>
        <w:tc>
          <w:tcPr/>
          <w:p>
            <w:pPr>
              <w:pStyle w:val="Compact"/>
            </w:pPr>
            <w:r>
              <w:t xml:space="preserve">0.115 ± 0.022</w:t>
            </w:r>
          </w:p>
        </w:tc>
        <w:tc>
          <w:tcPr/>
          <w:p>
            <w:pPr>
              <w:pStyle w:val="Compact"/>
            </w:pPr>
            <w:r>
              <w:t xml:space="preserve">0.098 ± 0.016</w:t>
            </w:r>
          </w:p>
        </w:tc>
        <w:tc>
          <w:tcPr/>
          <w:p>
            <w:pPr>
              <w:pStyle w:val="Compact"/>
            </w:pPr>
            <w:r>
              <w:t xml:space="preserve">FT2 better</w:t>
            </w:r>
          </w:p>
        </w:tc>
      </w:tr>
      <w:tr>
        <w:tc>
          <w:tcPr/>
          <w:p>
            <w:pPr>
              <w:pStyle w:val="Compact"/>
            </w:pPr>
            <w:r>
              <w:t xml:space="preserve">200</w:t>
            </w:r>
          </w:p>
        </w:tc>
        <w:tc>
          <w:tcPr/>
          <w:p>
            <w:pPr>
              <w:pStyle w:val="Compact"/>
              <w:jc w:val="center"/>
            </w:pPr>
            <w:r>
              <w:t xml:space="preserve">5,gap2</w:t>
            </w:r>
          </w:p>
        </w:tc>
        <w:tc>
          <w:tcPr/>
          <w:p>
            <w:pPr>
              <w:pStyle w:val="Compact"/>
            </w:pPr>
            <w:r>
              <w:t xml:space="preserve">0.102 ± 0.019</w:t>
            </w:r>
          </w:p>
        </w:tc>
        <w:tc>
          <w:tcPr/>
          <w:p>
            <w:pPr>
              <w:pStyle w:val="Compact"/>
            </w:pPr>
            <w:r>
              <w:t xml:space="preserve">0.096 ± 0.019</w:t>
            </w:r>
          </w:p>
        </w:tc>
        <w:tc>
          <w:tcPr/>
          <w:p>
            <w:pPr>
              <w:pStyle w:val="Compact"/>
            </w:pPr>
            <w:r>
              <w:t xml:space="preserve">Comparable (clean)</w:t>
            </w:r>
          </w:p>
        </w:tc>
      </w:tr>
      <w:tr>
        <w:tc>
          <w:tcPr/>
          <w:p>
            <w:pPr>
              <w:pStyle w:val="Compact"/>
            </w:pPr>
            <w:r>
              <w:t xml:space="preserve">200</w:t>
            </w:r>
          </w:p>
        </w:tc>
        <w:tc>
          <w:tcPr/>
          <w:p>
            <w:pPr>
              <w:pStyle w:val="Compact"/>
              <w:jc w:val="center"/>
            </w:pPr>
            <w:r>
              <w:t xml:space="preserve">5,gap2</w:t>
            </w:r>
          </w:p>
        </w:tc>
        <w:tc>
          <w:tcPr/>
          <w:p>
            <w:pPr>
              <w:pStyle w:val="Compact"/>
            </w:pPr>
            <w:r>
              <w:rPr>
                <w:b/>
                <w:bCs/>
              </w:rPr>
              <w:t xml:space="preserve">0.077 ± 0.018</w:t>
            </w:r>
          </w:p>
        </w:tc>
        <w:tc>
          <w:tcPr/>
          <w:p>
            <w:pPr>
              <w:pStyle w:val="Compact"/>
            </w:pPr>
            <w:r>
              <w:t xml:space="preserve">0.080 ± 0.017</w:t>
            </w:r>
          </w:p>
        </w:tc>
        <w:tc>
          <w:tcPr/>
          <w:p>
            <w:pPr>
              <w:pStyle w:val="Compact"/>
            </w:pPr>
            <w:r>
              <w:t xml:space="preserve">Fusang better (indel) ‡</w:t>
            </w:r>
          </w:p>
        </w:tc>
      </w:tr>
      <w:tr>
        <w:tc>
          <w:tcPr/>
          <w:p>
            <w:pPr>
              <w:pStyle w:val="Compact"/>
            </w:pPr>
            <w:r>
              <w:t xml:space="preserve">500</w:t>
            </w:r>
          </w:p>
        </w:tc>
        <w:tc>
          <w:tcPr/>
          <w:p>
            <w:pPr>
              <w:pStyle w:val="Compact"/>
              <w:jc w:val="center"/>
            </w:pPr>
            <w:r>
              <w:t xml:space="preserve">5,gap2</w:t>
            </w:r>
          </w:p>
        </w:tc>
        <w:tc>
          <w:tcPr/>
          <w:p>
            <w:pPr>
              <w:pStyle w:val="Compact"/>
            </w:pPr>
            <w:r>
              <w:t xml:space="preserve">0.119 ± 0.011</w:t>
            </w:r>
          </w:p>
        </w:tc>
        <w:tc>
          <w:tcPr/>
          <w:p>
            <w:pPr>
              <w:pStyle w:val="Compact"/>
            </w:pPr>
            <w:r>
              <w:rPr>
                <w:b/>
                <w:bCs/>
              </w:rPr>
              <w:t xml:space="preserve">0.093 ± 0.013</w:t>
            </w:r>
          </w:p>
        </w:tc>
        <w:tc>
          <w:tcPr/>
          <w:p>
            <w:pPr>
              <w:pStyle w:val="Compact"/>
            </w:pPr>
            <w:r>
              <w:t xml:space="preserve">FT2 better (clean)</w:t>
            </w:r>
          </w:p>
        </w:tc>
      </w:tr>
      <w:tr>
        <w:tc>
          <w:tcPr/>
          <w:p>
            <w:pPr>
              <w:pStyle w:val="Compact"/>
            </w:pPr>
            <w:r>
              <w:t xml:space="preserve">1000</w:t>
            </w:r>
          </w:p>
        </w:tc>
        <w:tc>
          <w:tcPr/>
          <w:p>
            <w:pPr>
              <w:pStyle w:val="Compact"/>
              <w:jc w:val="center"/>
            </w:pPr>
            <w:r>
              <w:t xml:space="preserve">5,gap2</w:t>
            </w:r>
          </w:p>
        </w:tc>
        <w:tc>
          <w:tcPr/>
          <w:p>
            <w:pPr>
              <w:pStyle w:val="Compact"/>
            </w:pPr>
            <w:r>
              <w:t xml:space="preserve">0.115 ± 0.011</w:t>
            </w:r>
          </w:p>
        </w:tc>
        <w:tc>
          <w:tcPr/>
          <w:p>
            <w:pPr>
              <w:pStyle w:val="Compact"/>
            </w:pPr>
            <w:r>
              <w:rPr>
                <w:b/>
                <w:bCs/>
              </w:rPr>
              <w:t xml:space="preserve">0.091 ± 0.010</w:t>
            </w:r>
          </w:p>
        </w:tc>
        <w:tc>
          <w:tcPr/>
          <w:p>
            <w:pPr>
              <w:pStyle w:val="Compact"/>
            </w:pPr>
            <w:r>
              <w:t xml:space="preserve">FT2 better (clean)</w:t>
            </w:r>
          </w:p>
        </w:tc>
      </w:tr>
    </w:tbl>
    <w:p>
      <w:pPr>
        <w:pStyle w:val="BodyText"/>
      </w:pPr>
      <w:r>
        <w:rPr>
          <w:b/>
          <w:bCs/>
        </w:rPr>
        <w:t xml:space="preserve">Notes</w:t>
      </w:r>
      <w:r>
        <w:t xml:space="preserve">: For n&lt;1000, Notes column indicates which method performs better and the p-value when significant. For n=1000,</w:t>
      </w:r>
      <w:r>
        <w:t xml:space="preserve"> </w:t>
      </w:r>
      <w:r>
        <w:t xml:space="preserve">“Simplified”</w:t>
      </w:r>
      <w:r>
        <w:t xml:space="preserve"> </w:t>
      </w:r>
      <w:r>
        <w:t xml:space="preserve">indicates that the simplified pipeline (direct k-mer→cosine→NJ) was used rather than DCM+EPA; the winner is still FastTree2 on clean data. See Supplementary Table S6 for complete n=1000 benchmark results (30 seeds, both clean and indel conditions). ‡ Row values are from the 30-seed benchmark (seed set 70–99); the independent 112-seed benchmark (seeds 100–229, after outlier exclusion) yields p=0.052 (borderline, Table 3).</w:t>
      </w:r>
    </w:p>
    <w:p>
      <w:pPr>
        <w:pStyle w:val="BodyText"/>
      </w:pPr>
      <w:r>
        <w:t xml:space="preserve">On indel-rich data (indel rate=0.02), the optimal gap shifts slightly: gap3 provides a modest 10.5% improvement over gap2 at n=200 (nRF=0.043 vs 0.048, Supplementary Table S2), attributed to wider spacing better tolerating indel-induced length variation. However, the absolute improvement is small, and k=5,gap2 remains a robust default within 10% of the empirical optimum across all tested conditions.</w:t>
      </w:r>
    </w:p>
    <w:p>
      <w:pPr>
        <w:pStyle w:val="BodyText"/>
      </w:pPr>
      <w:r>
        <w:rPr>
          <w:b/>
          <w:bCs/>
        </w:rPr>
        <w:t xml:space="preserve">Table 9. Real 16S rRNA validation (n=74, 1.2s, simplified pipeline, k=5,gap2).</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Taxonomic Level</w:t>
            </w:r>
          </w:p>
        </w:tc>
        <w:tc>
          <w:tcPr/>
          <w:p>
            <w:pPr>
              <w:pStyle w:val="Compact"/>
              <w:jc w:val="right"/>
            </w:pPr>
            <w:r>
              <w:t xml:space="preserve">Same-group Distance</w:t>
            </w:r>
          </w:p>
        </w:tc>
        <w:tc>
          <w:tcPr/>
          <w:p>
            <w:pPr>
              <w:pStyle w:val="Compact"/>
              <w:jc w:val="right"/>
            </w:pPr>
            <w:r>
              <w:t xml:space="preserve">Different-group Distance</w:t>
            </w:r>
          </w:p>
        </w:tc>
        <w:tc>
          <w:tcPr/>
          <w:p>
            <w:pPr>
              <w:pStyle w:val="Compact"/>
              <w:jc w:val="right"/>
            </w:pPr>
            <w:r>
              <w:t xml:space="preserve">Reduction</w:t>
            </w:r>
          </w:p>
        </w:tc>
        <w:tc>
          <w:tcPr/>
          <w:p>
            <w:pPr>
              <w:pStyle w:val="Compact"/>
              <w:jc w:val="center"/>
            </w:pPr>
            <w:r>
              <w:t xml:space="preserve">P-value</w:t>
            </w:r>
          </w:p>
        </w:tc>
      </w:tr>
      <w:tr>
        <w:tc>
          <w:tcPr/>
          <w:p>
            <w:pPr>
              <w:pStyle w:val="Compact"/>
              <w:jc w:val="left"/>
            </w:pPr>
            <w:r>
              <w:t xml:space="preserve">Order</w:t>
            </w:r>
          </w:p>
        </w:tc>
        <w:tc>
          <w:tcPr/>
          <w:p>
            <w:pPr>
              <w:pStyle w:val="Compact"/>
              <w:jc w:val="right"/>
            </w:pPr>
            <w:r>
              <w:t xml:space="preserve">0.207</w:t>
            </w:r>
          </w:p>
        </w:tc>
        <w:tc>
          <w:tcPr/>
          <w:p>
            <w:pPr>
              <w:pStyle w:val="Compact"/>
              <w:jc w:val="right"/>
            </w:pPr>
            <w:r>
              <w:t xml:space="preserve">0.237</w:t>
            </w:r>
          </w:p>
        </w:tc>
        <w:tc>
          <w:tcPr/>
          <w:p>
            <w:pPr>
              <w:pStyle w:val="Compact"/>
              <w:jc w:val="right"/>
            </w:pPr>
            <w:r>
              <w:rPr>
                <w:b/>
                <w:bCs/>
              </w:rPr>
              <w:t xml:space="preserve">12.6%</w:t>
            </w:r>
          </w:p>
        </w:tc>
        <w:tc>
          <w:tcPr/>
          <w:p>
            <w:pPr>
              <w:pStyle w:val="Compact"/>
              <w:jc w:val="center"/>
            </w:pPr>
            <w:r>
              <w:t xml:space="preserve">&lt; 0.01</w:t>
            </w:r>
          </w:p>
        </w:tc>
      </w:tr>
      <w:tr>
        <w:tc>
          <w:tcPr/>
          <w:p>
            <w:pPr>
              <w:pStyle w:val="Compact"/>
              <w:jc w:val="left"/>
            </w:pPr>
            <w:r>
              <w:t xml:space="preserve">Phylum</w:t>
            </w:r>
          </w:p>
        </w:tc>
        <w:tc>
          <w:tcPr/>
          <w:p>
            <w:pPr>
              <w:pStyle w:val="Compact"/>
              <w:jc w:val="right"/>
            </w:pPr>
            <w:r>
              <w:t xml:space="preserve">0.227</w:t>
            </w:r>
          </w:p>
        </w:tc>
        <w:tc>
          <w:tcPr/>
          <w:p>
            <w:pPr>
              <w:pStyle w:val="Compact"/>
              <w:jc w:val="right"/>
            </w:pPr>
            <w:r>
              <w:t xml:space="preserve">0.238</w:t>
            </w:r>
          </w:p>
        </w:tc>
        <w:tc>
          <w:tcPr/>
          <w:p>
            <w:pPr>
              <w:pStyle w:val="Compact"/>
              <w:jc w:val="right"/>
            </w:pPr>
            <w:r>
              <w:t xml:space="preserve">4.6%</w:t>
            </w:r>
          </w:p>
        </w:tc>
        <w:tc>
          <w:tcPr/>
          <w:p>
            <w:pPr>
              <w:pStyle w:val="Compact"/>
              <w:jc w:val="center"/>
            </w:pPr>
            <w:r>
              <w:t xml:space="preserve">&lt; 0.05</w:t>
            </w:r>
          </w:p>
        </w:tc>
      </w:tr>
      <w:tr>
        <w:tc>
          <w:tcPr/>
          <w:p>
            <w:pPr>
              <w:pStyle w:val="Compact"/>
              <w:jc w:val="left"/>
            </w:pPr>
            <w:r>
              <w:t xml:space="preserve">Family</w:t>
            </w:r>
          </w:p>
        </w:tc>
        <w:tc>
          <w:tcPr/>
          <w:p>
            <w:pPr>
              <w:pStyle w:val="Compact"/>
              <w:jc w:val="right"/>
            </w:pPr>
            <w:r>
              <w:t xml:space="preserve">0.269</w:t>
            </w:r>
          </w:p>
        </w:tc>
        <w:tc>
          <w:tcPr/>
          <w:p>
            <w:pPr>
              <w:pStyle w:val="Compact"/>
              <w:jc w:val="right"/>
            </w:pPr>
            <w:r>
              <w:t xml:space="preserve">0.235</w:t>
            </w:r>
          </w:p>
        </w:tc>
        <w:tc>
          <w:tcPr/>
          <w:p>
            <w:pPr>
              <w:pStyle w:val="Compact"/>
              <w:jc w:val="right"/>
            </w:pPr>
            <w:r>
              <w:t xml:space="preserve">−14.2%</w:t>
            </w:r>
          </w:p>
        </w:tc>
        <w:tc>
          <w:tcPr/>
          <w:p>
            <w:pPr>
              <w:pStyle w:val="Compact"/>
              <w:jc w:val="center"/>
            </w:pPr>
            <w:r>
              <w:t xml:space="preserve">n.s.</w:t>
            </w:r>
          </w:p>
        </w:tc>
      </w:tr>
    </w:tbl>
    <w:p>
      <w:pPr>
        <w:pStyle w:val="BodyText"/>
      </w:pPr>
      <w:r>
        <w:t xml:space="preserve">P-values are from two-sided permutation tests comparing mean same-group versus different-group tree-based pairwise distances with taxonomic group labels permuted (test statistic: difference in group means; 10,000 random permutations per level). A verification rerun of these tests on the archived tree and metadata (which retain 73 of the 74 taxa) reproduces significant signal at both order and phylum levels (7.3% and 3.8% mean-distance reduction, p=0.027 and p=0.003); family-rank labels were not retained in the archived metadata, and the family row is reported from the original analysis. Fusang recovers significant phylogenetic signal at order and phylum levels across 74 taxa. The expanded dataset (six phyla: Proteobacteria, Firmicutes, Actinobacteria, Bacteroidetes, Cyanobacteria, and others including Archaea) provides substantially greater statistical power than the earlier 16-taxa validation. Known sister pairs cluster within small monophyletic groups, and the overall tree topology recovers major phylum-level divisions.</w:t>
      </w:r>
    </w:p>
    <w:p>
      <w:pPr>
        <w:pStyle w:val="BodyText"/>
      </w:pPr>
      <w:r>
        <w:t xml:space="preserve">These results show that k-mer frequency features recover genuine phylogenetic signal from real sequences without parameter tuning, while delineating the sequence types — highly structured genes with strong positional conservation — where alignment-based methods retain a clear advantage.</w:t>
      </w:r>
    </w:p>
    <w:p>
      <w:pPr>
        <w:pStyle w:val="BodyText"/>
      </w:pPr>
      <w:r>
        <w:rPr>
          <w:b/>
          <w:bCs/>
        </w:rPr>
        <w:t xml:space="preserve">Table 10. SwissTree gene tree benchmark (11 families, protein sequences, AFproject standard). Per-family data: Supplementary Tables S11–S12.</w:t>
      </w:r>
    </w:p>
    <w:tbl>
      <w:tblPr>
        <w:tblStyle w:val="Table"/>
        <w:tblW w:type="pct" w:w="5000"/>
        <w:tblLayout w:type="fixed"/>
        <w:tblLook w:firstRow="1" w:lastRow="0" w:firstColumn="0" w:lastColumn="0" w:noHBand="0" w:noVBand="0" w:val="0020"/>
      </w:tblPr>
      <w:tblGrid>
        <w:gridCol w:w="1667"/>
        <w:gridCol w:w="833"/>
        <w:gridCol w:w="2501"/>
        <w:gridCol w:w="1875"/>
        <w:gridCol w:w="1042"/>
      </w:tblGrid>
      <w:tr>
        <w:trPr>
          <w:tblHeader w:val="on"/>
        </w:trPr>
        <w:tc>
          <w:tcPr/>
          <w:p>
            <w:pPr>
              <w:pStyle w:val="Compact"/>
            </w:pPr>
            <w:r>
              <w:t xml:space="preserve">Method</w:t>
            </w:r>
          </w:p>
        </w:tc>
        <w:tc>
          <w:tcPr/>
          <w:p>
            <w:pPr>
              <w:pStyle w:val="Compact"/>
              <w:jc w:val="left"/>
            </w:pPr>
            <w:r>
              <w:t xml:space="preserve">Configuration</w:t>
            </w:r>
          </w:p>
        </w:tc>
        <w:tc>
          <w:tcPr/>
          <w:p>
            <w:pPr>
              <w:pStyle w:val="Compact"/>
              <w:jc w:val="right"/>
            </w:pPr>
            <w:r>
              <w:t xml:space="preserve">Mean nRF ↓</w:t>
            </w:r>
          </w:p>
        </w:tc>
        <w:tc>
          <w:tcPr/>
          <w:p>
            <w:pPr>
              <w:pStyle w:val="Compact"/>
              <w:jc w:val="right"/>
            </w:pPr>
            <w:r>
              <w:t xml:space="preserve">Std Dev</w:t>
            </w:r>
          </w:p>
        </w:tc>
        <w:tc>
          <w:tcPr/>
          <w:p>
            <w:pPr>
              <w:pStyle w:val="Compact"/>
              <w:jc w:val="center"/>
            </w:pPr>
            <w:r>
              <w:t xml:space="preserve">Wins /11</w:t>
            </w:r>
          </w:p>
        </w:tc>
      </w:tr>
      <w:tr>
        <w:tc>
          <w:tcPr/>
          <w:p>
            <w:pPr>
              <w:pStyle w:val="Compact"/>
            </w:pPr>
            <w:r>
              <w:t xml:space="preserve">Co-phylog (halfctx=5, k=11)</w:t>
            </w:r>
          </w:p>
        </w:tc>
        <w:tc>
          <w:tcPr/>
          <w:p>
            <w:pPr>
              <w:pStyle w:val="Compact"/>
              <w:jc w:val="left"/>
            </w:pPr>
            <w:r>
              <w:t xml:space="preserve">Context-object</w:t>
            </w:r>
          </w:p>
        </w:tc>
        <w:tc>
          <w:tcPr/>
          <w:p>
            <w:pPr>
              <w:pStyle w:val="Compact"/>
              <w:jc w:val="right"/>
            </w:pPr>
            <w:r>
              <w:rPr>
                <w:b/>
                <w:bCs/>
              </w:rPr>
              <w:t xml:space="preserve">0.433</w:t>
            </w:r>
          </w:p>
        </w:tc>
        <w:tc>
          <w:tcPr/>
          <w:p>
            <w:pPr>
              <w:pStyle w:val="Compact"/>
              <w:jc w:val="right"/>
            </w:pPr>
            <w:r>
              <w:t xml:space="preserve">0.076</w:t>
            </w:r>
          </w:p>
        </w:tc>
        <w:tc>
          <w:tcPr/>
          <w:p>
            <w:pPr>
              <w:pStyle w:val="Compact"/>
              <w:jc w:val="center"/>
            </w:pPr>
            <w:r>
              <w:t xml:space="preserve">3</w:t>
            </w:r>
          </w:p>
        </w:tc>
      </w:tr>
      <w:tr>
        <w:tc>
          <w:tcPr/>
          <w:p>
            <w:pPr>
              <w:pStyle w:val="Compact"/>
            </w:pPr>
            <w:r>
              <w:t xml:space="preserve">Co-phylog (halfctx=11, k=23)</w:t>
            </w:r>
          </w:p>
        </w:tc>
        <w:tc>
          <w:tcPr/>
          <w:p>
            <w:pPr>
              <w:pStyle w:val="Compact"/>
              <w:jc w:val="left"/>
            </w:pPr>
            <w:r>
              <w:t xml:space="preserve">Context-object</w:t>
            </w:r>
          </w:p>
        </w:tc>
        <w:tc>
          <w:tcPr/>
          <w:p>
            <w:pPr>
              <w:pStyle w:val="Compact"/>
              <w:jc w:val="right"/>
            </w:pPr>
            <w:r>
              <w:rPr>
                <w:b/>
                <w:bCs/>
              </w:rPr>
              <w:t xml:space="preserve">0.361</w:t>
            </w:r>
          </w:p>
        </w:tc>
        <w:tc>
          <w:tcPr/>
          <w:p>
            <w:pPr>
              <w:pStyle w:val="Compact"/>
              <w:jc w:val="right"/>
            </w:pPr>
            <w:r>
              <w:t xml:space="preserve">0.059</w:t>
            </w:r>
          </w:p>
        </w:tc>
        <w:tc>
          <w:tcPr/>
          <w:p>
            <w:pPr>
              <w:pStyle w:val="Compact"/>
              <w:jc w:val="center"/>
            </w:pPr>
            <w:r>
              <w:t xml:space="preserve">0</w:t>
            </w:r>
          </w:p>
        </w:tc>
      </w:tr>
      <w:tr>
        <w:tc>
          <w:tcPr/>
          <w:p>
            <w:pPr>
              <w:pStyle w:val="Compact"/>
            </w:pPr>
            <w:r>
              <w:t xml:space="preserve">K-mer cosine k=4</w:t>
            </w:r>
          </w:p>
        </w:tc>
        <w:tc>
          <w:tcPr/>
          <w:p>
            <w:pPr>
              <w:pStyle w:val="Compact"/>
              <w:jc w:val="left"/>
            </w:pPr>
            <w:r>
              <w:t xml:space="preserve">Contiguous</w:t>
            </w:r>
          </w:p>
        </w:tc>
        <w:tc>
          <w:tcPr/>
          <w:p>
            <w:pPr>
              <w:pStyle w:val="Compact"/>
              <w:jc w:val="right"/>
            </w:pPr>
            <w:r>
              <w:t xml:space="preserve">0.256</w:t>
            </w:r>
          </w:p>
        </w:tc>
        <w:tc>
          <w:tcPr/>
          <w:p>
            <w:pPr>
              <w:pStyle w:val="Compact"/>
              <w:jc w:val="right"/>
            </w:pPr>
            <w:r>
              <w:t xml:space="preserve">0.122</w:t>
            </w:r>
          </w:p>
        </w:tc>
        <w:tc>
          <w:tcPr/>
          <w:p>
            <w:pPr>
              <w:pStyle w:val="Compact"/>
              <w:jc w:val="center"/>
            </w:pPr>
            <w:r>
              <w:t xml:space="preserve">1</w:t>
            </w:r>
          </w:p>
        </w:tc>
      </w:tr>
      <w:tr>
        <w:tc>
          <w:tcPr/>
          <w:p>
            <w:pPr>
              <w:pStyle w:val="Compact"/>
            </w:pPr>
            <w:r>
              <w:t xml:space="preserve">K-mer cosine k=5</w:t>
            </w:r>
          </w:p>
        </w:tc>
        <w:tc>
          <w:tcPr/>
          <w:p>
            <w:pPr>
              <w:pStyle w:val="Compact"/>
              <w:jc w:val="left"/>
            </w:pPr>
            <w:r>
              <w:t xml:space="preserve">Contiguous</w:t>
            </w:r>
          </w:p>
        </w:tc>
        <w:tc>
          <w:tcPr/>
          <w:p>
            <w:pPr>
              <w:pStyle w:val="Compact"/>
              <w:jc w:val="right"/>
            </w:pPr>
            <w:r>
              <w:t xml:space="preserve">0.244</w:t>
            </w:r>
          </w:p>
        </w:tc>
        <w:tc>
          <w:tcPr/>
          <w:p>
            <w:pPr>
              <w:pStyle w:val="Compact"/>
              <w:jc w:val="right"/>
            </w:pPr>
            <w:r>
              <w:t xml:space="preserve">0.110</w:t>
            </w:r>
          </w:p>
        </w:tc>
        <w:tc>
          <w:tcPr/>
          <w:p>
            <w:pPr>
              <w:pStyle w:val="Compact"/>
              <w:jc w:val="center"/>
            </w:pPr>
            <w:r>
              <w:t xml:space="preserve">2</w:t>
            </w:r>
          </w:p>
        </w:tc>
      </w:tr>
      <w:tr>
        <w:tc>
          <w:tcPr/>
          <w:p>
            <w:pPr>
              <w:pStyle w:val="Compact"/>
            </w:pPr>
            <w:r>
              <w:rPr>
                <w:b/>
                <w:bCs/>
              </w:rPr>
              <w:t xml:space="preserve">Fusang</w:t>
            </w:r>
            <w:r>
              <w:t xml:space="preserve"> </w:t>
            </w:r>
            <w:r>
              <w:t xml:space="preserve">k=4,gap1 (1010101)</w:t>
            </w:r>
          </w:p>
        </w:tc>
        <w:tc>
          <w:tcPr/>
          <w:p>
            <w:pPr>
              <w:pStyle w:val="Compact"/>
              <w:jc w:val="left"/>
            </w:pPr>
            <w:r>
              <w:t xml:space="preserve">Spaced</w:t>
            </w:r>
          </w:p>
        </w:tc>
        <w:tc>
          <w:tcPr/>
          <w:p>
            <w:pPr>
              <w:pStyle w:val="Compact"/>
              <w:jc w:val="right"/>
            </w:pPr>
            <w:r>
              <w:rPr>
                <w:b/>
                <w:bCs/>
              </w:rPr>
              <w:t xml:space="preserve">0.239</w:t>
            </w:r>
          </w:p>
        </w:tc>
        <w:tc>
          <w:tcPr/>
          <w:p>
            <w:pPr>
              <w:pStyle w:val="Compact"/>
              <w:jc w:val="right"/>
            </w:pPr>
            <w:r>
              <w:t xml:space="preserve">0.118</w:t>
            </w:r>
          </w:p>
        </w:tc>
        <w:tc>
          <w:tcPr/>
          <w:p>
            <w:pPr>
              <w:pStyle w:val="Compact"/>
              <w:jc w:val="center"/>
            </w:pPr>
            <w:r>
              <w:t xml:space="preserve">5</w:t>
            </w:r>
          </w:p>
        </w:tc>
      </w:tr>
      <w:tr>
        <w:tc>
          <w:tcPr/>
          <w:p>
            <w:pPr>
              <w:pStyle w:val="Compact"/>
            </w:pPr>
            <w:r>
              <w:rPr>
                <w:b/>
                <w:bCs/>
              </w:rPr>
              <w:t xml:space="preserve">Fusang</w:t>
            </w:r>
            <w:r>
              <w:t xml:space="preserve"> </w:t>
            </w:r>
            <w:r>
              <w:t xml:space="preserve">k=5,gap2 (1001001001001)</w:t>
            </w:r>
          </w:p>
        </w:tc>
        <w:tc>
          <w:tcPr/>
          <w:p>
            <w:pPr>
              <w:pStyle w:val="Compact"/>
              <w:jc w:val="left"/>
            </w:pPr>
            <w:r>
              <w:t xml:space="preserve">Spaced</w:t>
            </w:r>
          </w:p>
        </w:tc>
        <w:tc>
          <w:tcPr/>
          <w:p>
            <w:pPr>
              <w:pStyle w:val="Compact"/>
              <w:jc w:val="right"/>
            </w:pPr>
            <w:r>
              <w:rPr>
                <w:b/>
                <w:bCs/>
              </w:rPr>
              <w:t xml:space="preserve">0.244</w:t>
            </w:r>
          </w:p>
        </w:tc>
        <w:tc>
          <w:tcPr/>
          <w:p>
            <w:pPr>
              <w:pStyle w:val="Compact"/>
              <w:jc w:val="right"/>
            </w:pPr>
            <w:r>
              <w:t xml:space="preserve">0.113</w:t>
            </w:r>
          </w:p>
        </w:tc>
        <w:tc>
          <w:tcPr/>
          <w:p>
            <w:pPr>
              <w:pStyle w:val="Compact"/>
              <w:jc w:val="center"/>
            </w:pPr>
            <w:r>
              <w:t xml:space="preserve">5</w:t>
            </w:r>
          </w:p>
        </w:tc>
      </w:tr>
    </w:tbl>
    <w:p>
      <w:pPr>
        <w:pStyle w:val="BodyText"/>
      </w:pPr>
      <w:r>
        <w:t xml:space="preserve">nRF=0: perfect match; nRF=1.0: random tree. Normalization: max_rf = 2(n−3). All methods use NJ (BioPython) for tree construction.</w:t>
      </w:r>
      <w:r>
        <w:t xml:space="preserve"> </w:t>
      </w:r>
      <w:r>
        <w:t xml:space="preserve">“Wins”</w:t>
      </w:r>
      <w:r>
        <w:t xml:space="preserve"> </w:t>
      </w:r>
      <w:r>
        <w:t xml:space="preserve">= lowest nRF in that family; ties are counted for all winners. Co-phylog halfctx=5 wins ST008, ST009, ST012 (nRF=0.3205, 0.3194, 0.4167 vs Fusang k=4,gap1 nRF=0.3462, 0.4028, 0.4722). Statistical tests: Fusang k=4,gap1 vs Co-phylog halfctx=5: paired t-test p=0.005, Wilcoxon p=0.014, Cohen’s d=1.08. Fusang k=4,gap1 vs Co-phylog halfctx=11: paired t-test p=0.001, Wilcoxon p=0.006, Cohen’s d=1.32. Spaced vs contiguous k-mer (k=4,gap1 vs k=4): p=0.31, Cohen’s d=0.06 (not significant).</w:t>
      </w:r>
    </w:p>
    <w:p>
      <w:pPr>
        <w:pStyle w:val="BodyText"/>
      </w:pPr>
      <w:r>
        <w:t xml:space="preserve">Three findings emerge from the SwissTree benchmark:</w:t>
      </w:r>
    </w:p>
    <w:p>
      <w:pPr>
        <w:numPr>
          <w:ilvl w:val="0"/>
          <w:numId w:val="1004"/>
        </w:numPr>
      </w:pPr>
      <w:r>
        <w:rPr>
          <w:b/>
          <w:bCs/>
        </w:rPr>
        <w:t xml:space="preserve">K-mer frequency methods outperform context-matching on protein sequences.</w:t>
      </w:r>
      <w:r>
        <w:t xml:space="preserve"> </w:t>
      </w:r>
      <w:r>
        <w:t xml:space="preserve">The best k-mer configurations achieve mean nRF≈0.24, while Co-phylog’s best configuration (halfctx=11) achieves nRF=0.361 — a 1.5× accuracy advantage (paired Wilcoxon p=0.006, Cohen’s d=1.32) — and its default (halfctx=5) achieves nRF=0.433, a 1.8× gap (p=0.014, d=1.08). This extends our observation from DNA data (Table 7) to protein sequences, confirming that k-mer frequency vectors capture phylogenetic signal more robustly than Co-phylog’s context-object matching across both sequence alphabets.</w:t>
      </w:r>
    </w:p>
    <w:p>
      <w:pPr>
        <w:numPr>
          <w:ilvl w:val="0"/>
          <w:numId w:val="1004"/>
        </w:numPr>
      </w:pPr>
      <w:r>
        <w:rPr>
          <w:b/>
          <w:bCs/>
        </w:rPr>
        <w:t xml:space="preserve">Spaced k-mers show no significant advantage on protein data.</w:t>
      </w:r>
      <w:r>
        <w:t xml:space="preserve"> </w:t>
      </w:r>
      <w:r>
        <w:t xml:space="preserve">Spaced k-mer configurations (k=4,gap1 mean nRF=0.239, k=5,gap2 mean nRF=0.244) perform comparably to contiguous k-mers (k=4 mean nRF=0.256, k=5 mean nRF=0.244). The difference is not statistically significant (p=0.31, Cohen’s d=0.06). This is consistent with our finding in DNA data (Table 7) and supports the interpretation that spaced k-mers provide marginal benefit at low indel rates. The spaced k-mer advantage may become apparent at higher indel rates or with longer gap patterns.</w:t>
      </w:r>
    </w:p>
    <w:p>
      <w:pPr>
        <w:numPr>
          <w:ilvl w:val="0"/>
          <w:numId w:val="1004"/>
        </w:numPr>
      </w:pPr>
      <w:r>
        <w:rPr>
          <w:b/>
          <w:bCs/>
        </w:rPr>
        <w:t xml:space="preserve">Both k-mer representation and distance metric contribute to accuracy across sequence types.</w:t>
      </w:r>
      <w:r>
        <w:t xml:space="preserve"> </w:t>
      </w:r>
      <w:r>
        <w:t xml:space="preserve">Across both DNA (Table 7) and protein (Table 10) benchmarks, the choice of distance metric (cosine vs MinHash Jaccard) has a larger effect than the choice between spaced and contiguous k-mers. The systematic evaluation of k-mer frequency vector cosine distances — across spaced and contiguous patterns and across sequence alphabets — is the core contribution of this work.</w:t>
      </w:r>
    </w:p>
    <w:p>
      <w:pPr>
        <w:pStyle w:val="FirstParagraph"/>
      </w:pPr>
      <w:r>
        <w:rPr>
          <w:b/>
          <w:bCs/>
        </w:rPr>
        <w:t xml:space="preserve">Table 11. Fusang scalability (L=500 bp, clean data; simplified pipeline for all n≤1000 timing runs, DCM at n=10,000). Tree builder: FastME BIONJ+BNNI.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jc w:val="center"/>
            </w:pPr>
            <w:r>
              <w:t xml:space="preserve">Time (s)</w:t>
            </w:r>
          </w:p>
        </w:tc>
        <w:tc>
          <w:tcPr/>
          <w:p>
            <w:pPr>
              <w:pStyle w:val="Compact"/>
            </w:pPr>
            <w:r>
              <w:t xml:space="preserve">Pipeline</w:t>
            </w:r>
          </w:p>
        </w:tc>
        <w:tc>
          <w:tcPr/>
          <w:p>
            <w:pPr>
              <w:pStyle w:val="Compact"/>
              <w:jc w:val="center"/>
            </w:pPr>
            <w:r>
              <w:t xml:space="preserve">FastME Speedup vs NJ</w:t>
            </w:r>
          </w:p>
        </w:tc>
      </w:tr>
      <w:tr>
        <w:tc>
          <w:tcPr/>
          <w:p>
            <w:pPr>
              <w:pStyle w:val="Compact"/>
            </w:pPr>
            <w:r>
              <w:t xml:space="preserve">20</w:t>
            </w:r>
          </w:p>
        </w:tc>
        <w:tc>
          <w:tcPr/>
          <w:p>
            <w:pPr>
              <w:pStyle w:val="Compact"/>
              <w:jc w:val="center"/>
            </w:pPr>
            <w:r>
              <w:t xml:space="preserve">4.9</w:t>
            </w:r>
          </w:p>
        </w:tc>
        <w:tc>
          <w:tcPr/>
          <w:p>
            <w:pPr>
              <w:pStyle w:val="Compact"/>
            </w:pPr>
            <w:r>
              <w:t xml:space="preserve">Simplified</w:t>
            </w:r>
          </w:p>
        </w:tc>
        <w:tc>
          <w:tcPr/>
          <w:p>
            <w:pPr>
              <w:pStyle w:val="Compact"/>
              <w:jc w:val="center"/>
            </w:pPr>
            <w:r>
              <w:t xml:space="preserve">—</w:t>
            </w:r>
          </w:p>
        </w:tc>
      </w:tr>
      <w:tr>
        <w:tc>
          <w:tcPr/>
          <w:p>
            <w:pPr>
              <w:pStyle w:val="Compact"/>
            </w:pPr>
            <w:r>
              <w:t xml:space="preserve">50</w:t>
            </w:r>
          </w:p>
        </w:tc>
        <w:tc>
          <w:tcPr/>
          <w:p>
            <w:pPr>
              <w:pStyle w:val="Compact"/>
              <w:jc w:val="center"/>
            </w:pPr>
            <w:r>
              <w:t xml:space="preserve">13.9</w:t>
            </w:r>
          </w:p>
        </w:tc>
        <w:tc>
          <w:tcPr/>
          <w:p>
            <w:pPr>
              <w:pStyle w:val="Compact"/>
            </w:pPr>
            <w:r>
              <w:t xml:space="preserve">Simplified</w:t>
            </w:r>
          </w:p>
        </w:tc>
        <w:tc>
          <w:tcPr/>
          <w:p>
            <w:pPr>
              <w:pStyle w:val="Compact"/>
              <w:jc w:val="center"/>
            </w:pPr>
            <w:r>
              <w:t xml:space="preserve">—</w:t>
            </w:r>
          </w:p>
        </w:tc>
      </w:tr>
      <w:tr>
        <w:tc>
          <w:tcPr/>
          <w:p>
            <w:pPr>
              <w:pStyle w:val="Compact"/>
            </w:pPr>
            <w:r>
              <w:t xml:space="preserve">100</w:t>
            </w:r>
          </w:p>
        </w:tc>
        <w:tc>
          <w:tcPr/>
          <w:p>
            <w:pPr>
              <w:pStyle w:val="Compact"/>
              <w:jc w:val="center"/>
            </w:pPr>
            <w:r>
              <w:t xml:space="preserve">24.5</w:t>
            </w:r>
          </w:p>
        </w:tc>
        <w:tc>
          <w:tcPr/>
          <w:p>
            <w:pPr>
              <w:pStyle w:val="Compact"/>
            </w:pPr>
            <w:r>
              <w:t xml:space="preserve">Simplified</w:t>
            </w:r>
          </w:p>
        </w:tc>
        <w:tc>
          <w:tcPr/>
          <w:p>
            <w:pPr>
              <w:pStyle w:val="Compact"/>
              <w:jc w:val="center"/>
            </w:pPr>
            <w:r>
              <w:t xml:space="preserve">—</w:t>
            </w:r>
          </w:p>
        </w:tc>
      </w:tr>
      <w:tr>
        <w:tc>
          <w:tcPr/>
          <w:p>
            <w:pPr>
              <w:pStyle w:val="Compact"/>
            </w:pPr>
            <w:r>
              <w:t xml:space="preserve">200</w:t>
            </w:r>
          </w:p>
        </w:tc>
        <w:tc>
          <w:tcPr/>
          <w:p>
            <w:pPr>
              <w:pStyle w:val="Compact"/>
              <w:jc w:val="center"/>
            </w:pPr>
            <w:r>
              <w:t xml:space="preserve">46.1</w:t>
            </w:r>
          </w:p>
        </w:tc>
        <w:tc>
          <w:tcPr/>
          <w:p>
            <w:pPr>
              <w:pStyle w:val="Compact"/>
            </w:pPr>
            <w:r>
              <w:t xml:space="preserve">Simplified (NJ)</w:t>
            </w:r>
          </w:p>
        </w:tc>
        <w:tc>
          <w:tcPr/>
          <w:p>
            <w:pPr>
              <w:pStyle w:val="Compact"/>
              <w:jc w:val="center"/>
            </w:pPr>
            <w:r>
              <w:t xml:space="preserve">3.5×</w:t>
            </w:r>
          </w:p>
        </w:tc>
      </w:tr>
      <w:tr>
        <w:tc>
          <w:tcPr/>
          <w:p>
            <w:pPr>
              <w:pStyle w:val="Compact"/>
            </w:pPr>
            <w:r>
              <w:t xml:space="preserve">500</w:t>
            </w:r>
          </w:p>
        </w:tc>
        <w:tc>
          <w:tcPr/>
          <w:p>
            <w:pPr>
              <w:pStyle w:val="Compact"/>
              <w:jc w:val="center"/>
            </w:pPr>
            <w:r>
              <w:t xml:space="preserve">3.8</w:t>
            </w:r>
          </w:p>
        </w:tc>
        <w:tc>
          <w:tcPr/>
          <w:p>
            <w:pPr>
              <w:pStyle w:val="Compact"/>
            </w:pPr>
            <w:r>
              <w:t xml:space="preserve">Simplified (FastME)</w:t>
            </w:r>
          </w:p>
        </w:tc>
        <w:tc>
          <w:tcPr/>
          <w:p>
            <w:pPr>
              <w:pStyle w:val="Compact"/>
              <w:jc w:val="center"/>
            </w:pPr>
            <w:r>
              <w:t xml:space="preserve">—</w:t>
            </w:r>
          </w:p>
        </w:tc>
      </w:tr>
      <w:tr>
        <w:tc>
          <w:tcPr/>
          <w:p>
            <w:pPr>
              <w:pStyle w:val="Compact"/>
            </w:pPr>
            <w:r>
              <w:t xml:space="preserve">1000</w:t>
            </w:r>
          </w:p>
        </w:tc>
        <w:tc>
          <w:tcPr/>
          <w:p>
            <w:pPr>
              <w:pStyle w:val="Compact"/>
              <w:jc w:val="center"/>
            </w:pPr>
            <w:r>
              <w:t xml:space="preserve">5.2</w:t>
            </w:r>
          </w:p>
        </w:tc>
        <w:tc>
          <w:tcPr/>
          <w:p>
            <w:pPr>
              <w:pStyle w:val="Compact"/>
            </w:pPr>
            <w:r>
              <w:t xml:space="preserve">Simplified (FastME)</w:t>
            </w:r>
          </w:p>
        </w:tc>
        <w:tc>
          <w:tcPr/>
          <w:p>
            <w:pPr>
              <w:pStyle w:val="Compact"/>
              <w:jc w:val="center"/>
            </w:pPr>
            <w:r>
              <w:t xml:space="preserve">—</w:t>
            </w:r>
          </w:p>
        </w:tc>
      </w:tr>
      <w:tr>
        <w:tc>
          <w:tcPr/>
          <w:p>
            <w:pPr>
              <w:pStyle w:val="Compact"/>
            </w:pPr>
            <w:r>
              <w:t xml:space="preserve">10000</w:t>
            </w:r>
          </w:p>
        </w:tc>
        <w:tc>
          <w:tcPr/>
          <w:p>
            <w:pPr>
              <w:pStyle w:val="Compact"/>
              <w:jc w:val="center"/>
            </w:pPr>
            <w:r>
              <w:t xml:space="preserve">54.4</w:t>
            </w:r>
          </w:p>
        </w:tc>
        <w:tc>
          <w:tcPr/>
          <w:p>
            <w:pPr>
              <w:pStyle w:val="Compact"/>
            </w:pPr>
            <w:r>
              <w:t xml:space="preserve">DCM</w:t>
            </w:r>
          </w:p>
        </w:tc>
        <w:tc>
          <w:tcPr/>
          <w:p>
            <w:pPr>
              <w:pStyle w:val="Compact"/>
              <w:jc w:val="center"/>
            </w:pPr>
            <w:r>
              <w:t xml:space="preserve">—</w:t>
            </w:r>
          </w:p>
        </w:tc>
      </w:tr>
    </w:tbl>
    <w:p>
      <w:pPr>
        <w:pStyle w:val="BodyText"/>
      </w:pPr>
      <w:r>
        <w:t xml:space="preserve">† The n=200 runtime (46.1s) was measured with Neighbor-Joining (NJ) as the tree builder; n≥500 runtimes use FastME BIONJ+BNNI, which provides substantially faster tree construction (3.5× speedup at n=200). The n=200 runtime with FastME is approximately 8–10s; the NJ baseline is reported for algorithmic comparison. All scalability benchmarks in the main text use FastME BIONJ+BNNI as the default tree builder for n≥200.</w:t>
      </w:r>
    </w:p>
    <w:p>
      <w:pPr>
        <w:pStyle w:val="BodyText"/>
      </w:pPr>
      <w:r>
        <w:rPr>
          <w:b/>
          <w:bCs/>
        </w:rPr>
        <w:t xml:space="preserve">Table 12. Real genome benchmarks (AFproject community datasets, ETE3 nRF¹ vs published reference trees). All methods use NJ on unaligned input unless noted.</w:t>
      </w:r>
    </w:p>
    <w:tbl>
      <w:tblPr>
        <w:tblStyle w:val="Table"/>
        <w:tblW w:type="pct" w:w="5000"/>
        <w:tblLayout w:type="fixed"/>
        <w:tblLook w:firstRow="1" w:lastRow="0" w:firstColumn="0" w:lastColumn="0" w:noHBand="0" w:noVBand="0" w:val="0020"/>
      </w:tblPr>
      <w:tblGrid>
        <w:gridCol w:w="3520"/>
        <w:gridCol w:w="2200"/>
        <w:gridCol w:w="2200"/>
      </w:tblGrid>
      <w:tr>
        <w:trPr>
          <w:tblHeader w:val="on"/>
        </w:trPr>
        <w:tc>
          <w:tcPr/>
          <w:p>
            <w:pPr>
              <w:pStyle w:val="Compact"/>
            </w:pPr>
            <w:r>
              <w:t xml:space="preserve">Method</w:t>
            </w:r>
          </w:p>
        </w:tc>
        <w:tc>
          <w:tcPr/>
          <w:p>
            <w:pPr>
              <w:pStyle w:val="Compact"/>
              <w:jc w:val="center"/>
            </w:pPr>
            <w:r>
              <w:t xml:space="preserve">Fish mtDNA (n=25) ↓</w:t>
            </w:r>
          </w:p>
        </w:tc>
        <w:tc>
          <w:tcPr/>
          <w:p>
            <w:pPr>
              <w:pStyle w:val="Compact"/>
              <w:jc w:val="center"/>
            </w:pPr>
            <w:r>
              <w:t xml:space="preserve">E. coli/Shigella (n=27) ↓</w:t>
            </w:r>
          </w:p>
        </w:tc>
      </w:tr>
      <w:tr>
        <w:tc>
          <w:tcPr/>
          <w:p>
            <w:pPr>
              <w:pStyle w:val="Compact"/>
            </w:pPr>
            <w:r>
              <w:rPr>
                <w:b/>
                <w:bCs/>
              </w:rPr>
              <w:t xml:space="preserve">Multi-k cosine (k=5,7,9 avg)</w:t>
            </w:r>
          </w:p>
        </w:tc>
        <w:tc>
          <w:tcPr/>
          <w:p>
            <w:pPr>
              <w:pStyle w:val="Compact"/>
              <w:jc w:val="center"/>
            </w:pPr>
            <w:r>
              <w:rPr>
                <w:b/>
                <w:bCs/>
              </w:rPr>
              <w:t xml:space="preserve">0.045</w:t>
            </w:r>
          </w:p>
        </w:tc>
        <w:tc>
          <w:tcPr/>
          <w:p>
            <w:pPr>
              <w:pStyle w:val="Compact"/>
              <w:jc w:val="center"/>
            </w:pPr>
            <w:r>
              <w:t xml:space="preserve">0.500</w:t>
            </w:r>
          </w:p>
        </w:tc>
      </w:tr>
      <w:tr>
        <w:tc>
          <w:tcPr/>
          <w:p>
            <w:pPr>
              <w:pStyle w:val="Compact"/>
            </w:pPr>
            <w:r>
              <w:rPr>
                <w:b/>
                <w:bCs/>
              </w:rPr>
              <w:t xml:space="preserve">Multi-k cosine (k=7,9,11 avg)</w:t>
            </w:r>
          </w:p>
        </w:tc>
        <w:tc>
          <w:tcPr/>
          <w:p>
            <w:pPr>
              <w:pStyle w:val="Compact"/>
              <w:jc w:val="center"/>
            </w:pPr>
            <w:r>
              <w:rPr>
                <w:b/>
                <w:bCs/>
              </w:rPr>
              <w:t xml:space="preserve">0.045</w:t>
            </w:r>
          </w:p>
        </w:tc>
        <w:tc>
          <w:tcPr/>
          <w:p>
            <w:pPr>
              <w:pStyle w:val="Compact"/>
              <w:jc w:val="center"/>
            </w:pPr>
            <w:r>
              <w:t xml:space="preserve">—</w:t>
            </w:r>
          </w:p>
        </w:tc>
      </w:tr>
      <w:tr>
        <w:tc>
          <w:tcPr/>
          <w:p>
            <w:pPr>
              <w:pStyle w:val="Compact"/>
            </w:pPr>
            <w:r>
              <w:t xml:space="preserve">Multi-k cosine (k=9,11,13 avg)</w:t>
            </w:r>
          </w:p>
        </w:tc>
        <w:tc>
          <w:tcPr/>
          <w:p>
            <w:pPr>
              <w:pStyle w:val="Compact"/>
              <w:jc w:val="center"/>
            </w:pPr>
            <w:r>
              <w:t xml:space="preserve">—</w:t>
            </w:r>
          </w:p>
        </w:tc>
        <w:tc>
          <w:tcPr/>
          <w:p>
            <w:pPr>
              <w:pStyle w:val="Compact"/>
              <w:jc w:val="center"/>
            </w:pPr>
            <w:r>
              <w:t xml:space="preserve">0.500</w:t>
            </w:r>
          </w:p>
        </w:tc>
      </w:tr>
      <w:tr>
        <w:tc>
          <w:tcPr/>
          <w:p>
            <w:pPr>
              <w:pStyle w:val="Compact"/>
            </w:pPr>
            <w:r>
              <w:t xml:space="preserve">K-mer cosine k=9 / k=11 / k=13</w:t>
            </w:r>
          </w:p>
        </w:tc>
        <w:tc>
          <w:tcPr/>
          <w:p>
            <w:pPr>
              <w:pStyle w:val="Compact"/>
              <w:jc w:val="center"/>
            </w:pPr>
            <w:r>
              <w:t xml:space="preserve">0.091 / 0.091 / —</w:t>
            </w:r>
          </w:p>
        </w:tc>
        <w:tc>
          <w:tcPr/>
          <w:p>
            <w:pPr>
              <w:pStyle w:val="Compact"/>
              <w:jc w:val="center"/>
            </w:pPr>
            <w:r>
              <w:t xml:space="preserve">0.500 / 0.500 / 0.500</w:t>
            </w:r>
          </w:p>
        </w:tc>
      </w:tr>
      <w:tr>
        <w:tc>
          <w:tcPr/>
          <w:p>
            <w:pPr>
              <w:pStyle w:val="Compact"/>
            </w:pPr>
            <w:r>
              <w:t xml:space="preserve">K-mer cosine k=5 (gene-scale default)</w:t>
            </w:r>
          </w:p>
        </w:tc>
        <w:tc>
          <w:tcPr/>
          <w:p>
            <w:pPr>
              <w:pStyle w:val="Compact"/>
              <w:jc w:val="center"/>
            </w:pPr>
            <w:r>
              <w:t xml:space="preserve">0.545</w:t>
            </w:r>
          </w:p>
        </w:tc>
        <w:tc>
          <w:tcPr/>
          <w:p>
            <w:pPr>
              <w:pStyle w:val="Compact"/>
              <w:jc w:val="center"/>
            </w:pPr>
            <w:r>
              <w:t xml:space="preserve">0.875</w:t>
            </w:r>
          </w:p>
        </w:tc>
      </w:tr>
      <w:tr>
        <w:tc>
          <w:tcPr/>
          <w:p>
            <w:pPr>
              <w:pStyle w:val="Compact"/>
            </w:pPr>
            <w:r>
              <w:t xml:space="preserve">kmacs (k=10, AFproject config)</w:t>
            </w:r>
          </w:p>
        </w:tc>
        <w:tc>
          <w:tcPr/>
          <w:p>
            <w:pPr>
              <w:pStyle w:val="Compact"/>
              <w:jc w:val="center"/>
            </w:pPr>
            <w:r>
              <w:rPr>
                <w:b/>
                <w:bCs/>
              </w:rPr>
              <w:t xml:space="preserve">0.045</w:t>
            </w:r>
            <w:r>
              <w:t xml:space="preserve"> </w:t>
            </w:r>
            <w:r>
              <w:t xml:space="preserve">[published 0.05]</w:t>
            </w:r>
          </w:p>
        </w:tc>
        <w:tc>
          <w:tcPr/>
          <w:p>
            <w:pPr>
              <w:pStyle w:val="Compact"/>
              <w:jc w:val="center"/>
            </w:pPr>
            <w:r>
              <w:t xml:space="preserve">—</w:t>
            </w:r>
          </w:p>
        </w:tc>
      </w:tr>
      <w:tr>
        <w:tc>
          <w:tcPr/>
          <w:p>
            <w:pPr>
              <w:pStyle w:val="Compact"/>
            </w:pPr>
            <w:r>
              <w:t xml:space="preserve">kmacs (k=3)</w:t>
            </w:r>
          </w:p>
        </w:tc>
        <w:tc>
          <w:tcPr/>
          <w:p>
            <w:pPr>
              <w:pStyle w:val="Compact"/>
              <w:jc w:val="center"/>
            </w:pPr>
            <w:r>
              <w:t xml:space="preserve">0.182</w:t>
            </w:r>
          </w:p>
        </w:tc>
        <w:tc>
          <w:tcPr/>
          <w:p>
            <w:pPr>
              <w:pStyle w:val="Compact"/>
              <w:jc w:val="center"/>
            </w:pPr>
            <w:r>
              <w:t xml:space="preserve">0.542 ³</w:t>
            </w:r>
          </w:p>
        </w:tc>
      </w:tr>
      <w:tr>
        <w:tc>
          <w:tcPr/>
          <w:p>
            <w:pPr>
              <w:pStyle w:val="Compact"/>
            </w:pPr>
            <w:r>
              <w:t xml:space="preserve">Mash (k=11, s=5000, AFproject config)</w:t>
            </w:r>
          </w:p>
        </w:tc>
        <w:tc>
          <w:tcPr/>
          <w:p>
            <w:pPr>
              <w:pStyle w:val="Compact"/>
              <w:jc w:val="center"/>
            </w:pPr>
            <w:r>
              <w:rPr>
                <w:b/>
                <w:bCs/>
              </w:rPr>
              <w:t xml:space="preserve">0.045</w:t>
            </w:r>
            <w:r>
              <w:t xml:space="preserve"> </w:t>
            </w:r>
            <w:r>
              <w:t xml:space="preserve">[published 0.05]</w:t>
            </w:r>
          </w:p>
        </w:tc>
        <w:tc>
          <w:tcPr/>
          <w:p>
            <w:pPr>
              <w:pStyle w:val="Compact"/>
              <w:jc w:val="center"/>
            </w:pPr>
            <w:r>
              <w:t xml:space="preserve">—</w:t>
            </w:r>
          </w:p>
        </w:tc>
      </w:tr>
      <w:tr>
        <w:tc>
          <w:tcPr/>
          <w:p>
            <w:pPr>
              <w:pStyle w:val="Compact"/>
            </w:pPr>
            <w:r>
              <w:t xml:space="preserve">Mash (k=21, s=10000)</w:t>
            </w:r>
          </w:p>
        </w:tc>
        <w:tc>
          <w:tcPr/>
          <w:p>
            <w:pPr>
              <w:pStyle w:val="Compact"/>
              <w:jc w:val="center"/>
            </w:pPr>
            <w:r>
              <w:t xml:space="preserve">0.091</w:t>
            </w:r>
          </w:p>
        </w:tc>
        <w:tc>
          <w:tcPr/>
          <w:p>
            <w:pPr>
              <w:pStyle w:val="Compact"/>
              <w:jc w:val="center"/>
            </w:pPr>
            <w:r>
              <w:t xml:space="preserve">0.208</w:t>
            </w:r>
          </w:p>
        </w:tc>
      </w:tr>
      <w:tr>
        <w:tc>
          <w:tcPr/>
          <w:p>
            <w:pPr>
              <w:pStyle w:val="Compact"/>
            </w:pPr>
            <w:r>
              <w:t xml:space="preserve">Co-phylog (halfctx=5, AFproject config)</w:t>
            </w:r>
          </w:p>
        </w:tc>
        <w:tc>
          <w:tcPr/>
          <w:p>
            <w:pPr>
              <w:pStyle w:val="Compact"/>
              <w:jc w:val="center"/>
            </w:pPr>
            <w:r>
              <w:rPr>
                <w:b/>
                <w:bCs/>
              </w:rPr>
              <w:t xml:space="preserve">0.045</w:t>
            </w:r>
            <w:r>
              <w:t xml:space="preserve"> </w:t>
            </w:r>
            <w:r>
              <w:t xml:space="preserve">[published 0.09]</w:t>
            </w:r>
          </w:p>
        </w:tc>
        <w:tc>
          <w:tcPr/>
          <w:p>
            <w:pPr>
              <w:pStyle w:val="Compact"/>
              <w:jc w:val="center"/>
            </w:pPr>
            <w:r>
              <w:t xml:space="preserve">—</w:t>
            </w:r>
          </w:p>
        </w:tc>
      </w:tr>
      <w:tr>
        <w:tc>
          <w:tcPr/>
          <w:p>
            <w:pPr>
              <w:pStyle w:val="Compact"/>
            </w:pPr>
            <w:r>
              <w:t xml:space="preserve">MAFFT+FastTree2 (MSA+ML)</w:t>
            </w:r>
          </w:p>
        </w:tc>
        <w:tc>
          <w:tcPr/>
          <w:p>
            <w:pPr>
              <w:pStyle w:val="Compact"/>
              <w:jc w:val="center"/>
            </w:pPr>
            <w:r>
              <w:rPr>
                <w:b/>
                <w:bCs/>
              </w:rPr>
              <w:t xml:space="preserve">0.045</w:t>
            </w:r>
          </w:p>
        </w:tc>
        <w:tc>
          <w:tcPr/>
          <w:p>
            <w:pPr>
              <w:pStyle w:val="Compact"/>
              <w:jc w:val="center"/>
            </w:pPr>
            <w:r>
              <w:t xml:space="preserve">not feasible ²</w:t>
            </w:r>
          </w:p>
        </w:tc>
      </w:tr>
      <w:tr>
        <w:tc>
          <w:tcPr/>
          <w:p>
            <w:pPr>
              <w:pStyle w:val="Compact"/>
            </w:pPr>
            <w:r>
              <w:t xml:space="preserve">Published AFproject best (andi/Co-phylog/phylonium)</w:t>
            </w:r>
          </w:p>
        </w:tc>
        <w:tc>
          <w:tcPr/>
          <w:p>
            <w:pPr>
              <w:pStyle w:val="Compact"/>
              <w:jc w:val="center"/>
            </w:pPr>
            <w:r>
              <w:t xml:space="preserve">0.05</w:t>
            </w:r>
          </w:p>
        </w:tc>
        <w:tc>
          <w:tcPr/>
          <w:p>
            <w:pPr>
              <w:pStyle w:val="Compact"/>
              <w:jc w:val="center"/>
            </w:pPr>
            <w:r>
              <w:t xml:space="preserve">0.08</w:t>
            </w:r>
          </w:p>
        </w:tc>
      </w:tr>
    </w:tbl>
    <w:p>
      <w:pPr>
        <w:pStyle w:val="BodyText"/>
      </w:pPr>
      <w:r>
        <w:t xml:space="preserve">¹ nRF computed with ETE3 Tree.compare (unrooted, informative splits only, max_rf = 2(n−3)) — the AFproject scoring standard; not numerically comparable with the internal nRF of Tables 1–11.</w:t>
      </w:r>
      <w:r>
        <w:t xml:space="preserve"> </w:t>
      </w:r>
      <w:r>
        <w:t xml:space="preserve">“—”</w:t>
      </w:r>
      <w:r>
        <w:t xml:space="preserve"> </w:t>
      </w:r>
      <w:r>
        <w:t xml:space="preserve">= not tested (see notes);</w:t>
      </w:r>
      <w:r>
        <w:t xml:space="preserve"> </w:t>
      </w:r>
      <w:r>
        <w:t xml:space="preserve">“n/a”</w:t>
      </w:r>
      <w:r>
        <w:t xml:space="preserve"> </w:t>
      </w:r>
      <w:r>
        <w:t xml:space="preserve">= not applicable. Values in brackets are the scores published in the AFproject benchmark for the same method configuration; kmacs and Mash are original binaries and reproduce the published values (difference ≤ one split, consistent with NJ implementation differences), cross-validating the benchmark harness (data, NJ, and ETE3 scoring) rather than Fusang itself. Co-phylog is our Python reimplementation (as in Table 7), which explains its slightly better-than-published fish score.</w:t>
      </w:r>
      <w:r>
        <w:t xml:space="preserve"> </w:t>
      </w:r>
      <w:r>
        <w:t xml:space="preserve">² Whole-genome alignment of 27 × ~4.6 Mb is impractical — the regime where alignment-free methods are the only option.</w:t>
      </w:r>
      <w:r>
        <w:t xml:space="preserve"> </w:t>
      </w:r>
      <w:r>
        <w:t xml:space="preserve">³ kmacs (single-threaded) required 9.25 hours to compute the distance matrix for the 27 × ~4.6 Mb dataset — versus 10 s for Mash and ~4 min for the full k-mer cosine k-scan — and the resulting tree (nRF=0.542) does not beat the k-mer cosine plateau (0.500) on this dataset. Mash and the published AFproject leaderboard remain the stronger genome-scale comparators here.</w:t>
      </w:r>
    </w:p>
    <w:p>
      <w:pPr>
        <w:pStyle w:val="BodyText"/>
      </w:pPr>
      <w:r>
        <w:t xml:space="preserve">Three findings emerge:</w:t>
      </w:r>
    </w:p>
    <w:p>
      <w:pPr>
        <w:numPr>
          <w:ilvl w:val="0"/>
          <w:numId w:val="1005"/>
        </w:numPr>
      </w:pPr>
      <w:r>
        <w:rPr>
          <w:b/>
          <w:bCs/>
        </w:rPr>
        <w:t xml:space="preserve">On deep-divergence indel-rich real data, the multi-k cosine ensemble reaches the community-benchmark ceiling.</w:t>
      </w:r>
      <w:r>
        <w:t xml:space="preserve"> </w:t>
      </w:r>
      <w:r>
        <w:t xml:space="preserve">On the fish mitochondrial dataset (25 genomes across multiple orders, 9.1% alignment gaps), multi-k cosine achieves nRF=0.045 — identical to MAFFT+FastTree2 and to kmacs, Mash, and Co-phylog at their AFproject-published best configurations. This dataset does not discriminate among these methods: with n=25 taxa (44 informative splits), 0.045 corresponds to a 2-split difference from the trusted tree, and all top methods converge at this floor. The evidential value is therefore not that the ensemble distinguishes itself from MSA+ML, but that an alignment-free method with no k selection and no alignment step (~15s total vs ~75s for MAFFT alone) reaches the community optimum on real deep-divergence indel-rich data.</w:t>
      </w:r>
    </w:p>
    <w:p>
      <w:pPr>
        <w:numPr>
          <w:ilvl w:val="0"/>
          <w:numId w:val="1005"/>
        </w:numPr>
      </w:pPr>
      <w:r>
        <w:rPr>
          <w:b/>
          <w:bCs/>
        </w:rPr>
        <w:t xml:space="preserve">The k parameter must scale with sequence length, and the multi-k ensemble provides this automatically.</w:t>
      </w:r>
      <w:r>
        <w:t xml:space="preserve"> </w:t>
      </w:r>
      <w:r>
        <w:t xml:space="preserve">The gene-scale default (k=5) saturates at genome scale (only 1,024 possible 5-mers over 17–4,600 kb of sequence), producing near-random trees (fish nRF=0.545; E. coli nRF=0.875). Single larger k values recover signal on fish (k=9: 0.091; k=11: 0.091), yet the multi-k average — which includes the saturated k=5 and k=7 matrices — still achieves the best result (0.045). A plausible but unverified mechanism (this is a single dataset, and the explanation is post hoc) is that the informative scale-specific variation in the k=7–11 matrices dominates the topology while the ensemble averages out scale-specific noise. The multi-k ensemble thereby removes the need for length-aware k selection across a &gt;2,000-fold range of sequence lengths (500 bp genes to 17 kb mitogenomes).</w:t>
      </w:r>
    </w:p>
    <w:p>
      <w:pPr>
        <w:numPr>
          <w:ilvl w:val="0"/>
          <w:numId w:val="1005"/>
        </w:numPr>
      </w:pPr>
      <w:r>
        <w:rPr>
          <w:b/>
          <w:bCs/>
        </w:rPr>
        <w:t xml:space="preserve">E. coli/Shigella delineates an applicability boundary: shallow divergence dominated by recombination and gene flux.</w:t>
      </w:r>
      <w:r>
        <w:t xml:space="preserve"> </w:t>
      </w:r>
      <w:r>
        <w:t xml:space="preserve">On the 27-genome dataset (within-species divergence, recombination and gene gain/loss dominate over substitution), k-mer cosine plateaus at nRF=0.50 for all k≥9 and all multi-k variants, and kmacs (k=3; 9.25 h runtime) performs no better (nRF=0.542), whereas Mash reaches 0.208 (our run) / 0.12 (published), and anchor-based methods reach 0.08 (published andi, Co-phylog, phylonium). At within-species identity, the frequency-vector difference between genomes is dominated by the conserved background, while anchor- and sketch-based distances (shared k-mer fractions, average common substrings) remain sensitive to the small divergent fraction — note that kmacs, despite being substring-based, also fails to exploit this fraction at its gene-scale k=3 configuration. We conclude that k-mer cosine distances are the method of choice for moderate-to-deep divergence (gene families across genera to phyla, organelle genomes, the simulated 5%-substitution regime), and recommend anchor-based or MinHash methods for strain-level bacterial collections — a boundary that complements the 16S structured-gene boundary reported above.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2026-10-09T17:32:03Z</dcterms:created>
  <dcterms:modified xsi:type="dcterms:W3CDTF">2026-10-09T17:32:03Z</dcterms:modified>
</cp:coreProperties>
</file>

<file path=docProps/custom.xml><?xml version="1.0" encoding="utf-8"?>
<Properties xmlns="http://schemas.openxmlformats.org/officeDocument/2006/custom-properties" xmlns:vt="http://schemas.openxmlformats.org/officeDocument/2006/docPropsVTypes"/>
</file>