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Date: 22 October 2026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To: The Editor, Nucleic Acids Research, Oxford University Press</w:t>
      </w:r>
    </w:p>
    <w:p>
      <w:pPr>
        <w:spacing w:after="16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Re: Submission of a Methods Article</w:t>
      </w:r>
    </w:p>
    <w:p>
      <w:pPr>
        <w:spacing w:after="200" w:before="0" w:line="24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19"/>
        </w:rPr>
        <w:t>Title: Fusang: Tardigrade Edition — K-mer Frequency Vector Alignment-Free Phylogenetic Inference Resilient to Indel-Rich Sequence Evolution</w:t>
      </w:r>
    </w:p>
    <w:p>
      <w:pPr>
        <w:spacing w:after="10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Dear Editor,</w:t>
      </w:r>
    </w:p>
    <w:p>
      <w:pPr>
        <w:spacing w:after="12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We submit the above manuscript for consideration as a Methods Article in Nucleic Acids Research. It is a systematic evaluation of k-mer frequency vector cosine distances — spaced and contiguous patterns — for phylogenetic inference under indel-rich sequence evolution, delivered as open-source software (Fusang: Tardigrade Edition) with automatic parameter selection, a multi-k ensemble requiring no manual choice of k, and an empirically delimited domain of applicability. Three findings are of principal interest: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19"/>
        </w:rPr>
        <w:t>1. Indel robustness is real but rate-dependent, and we locate the crossover.</w:t>
      </w:r>
    </w:p>
    <w:p>
      <w:pPr>
        <w:spacing w:after="12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On INDELible-simulated gene-length data (n=200, L=500 bp, 130 independent seeds, scored against the true tree), Fusang's accuracy relative to MAFFT+FastTree2 improves monotonically with indel rate and crosses zero between 0.01 and 0.02: it is significantly worse at 0.005 (−8.9%, p=1.75×10⁻¹¹) and at 0.01 (−5.1%, p=5.20×10⁻⁵), numerically but not significantly better at 0.02 (nRF 0.199 ± 0.030 vs 0.205 ± 0.030, p=0.0507), and clearly better at 0.05 (+10.9%; 0.180 vs 0.202, p=1.27×10⁻¹¹, better in 99/130 seeds). The advantage is concentrated at high indel density, and we report it as such.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19"/>
        </w:rPr>
        <w:t>2. The multi-k ensemble removes manual k selection and is the most accurate configuration we tested at gene length.</w:t>
      </w:r>
    </w:p>
    <w:p>
      <w:pPr>
        <w:spacing w:after="12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On the same 130-seed benchmark the ensemble (contiguous k=5/7/9 averaged) attains nRF=0.1940 against 0.1990 for the default spaced-k plus NNI pipeline (p=7.7×10⁻³, better in 72/130 seeds), while tying the best single k (contiguous k=7, 0.1938; p=0.669). Under an independent 30-seed protocol at L=1000 bp, multi-k fusion cuts error by 8.7% relative to single-k (0.137 vs 0.150, p=0.00206), reaching within ~11% relative error of MAFFT+FastTree2 (0.124) with no alignment step. On real indel-rich data — 25 fish mitochondrial genomes, 9.1% gap cells in the alignment — multi-k cosine reaches nRF=0.045, identical to MAFFT+FastTree2 and to the best published alignment-free configurations, where the gene-scale default (k=5) saturates at 0.545.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19"/>
        </w:rPr>
        <w:t>3. “Alignment-free” is not one category, and we map its boundaries.</w:t>
      </w:r>
    </w:p>
    <w:p>
      <w:pPr>
        <w:spacing w:after="12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At gene length (L=500 bp) MinHash Jaccard (Mash, k=21) is far less accurate than k-mer cosine in both conditions (clean 0.3486 vs 0.2364, paired d=3.12; indel 0.4034 vs 0.1926, d=2.61; Fusang better in 30/30 seeds in both), and the two respond to indels in opposite directions (Mash degrades 1.16× while k-mer cosine improves 0.83×). We also state where k-mer cosine should not be preferred: strain-level bacterial genomes (E. coli/Shigella, plateau nRF=0.500) and structurally conserved RNA genes.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19"/>
        </w:rPr>
        <w:t>Transparency.</w:t>
      </w:r>
    </w:p>
    <w:p>
      <w:pPr>
        <w:spacing w:after="10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This version supersedes values carried by earlier iterations of the work — data from a coalescent simulator we regard as defective, and figures from a root-dependent RF implementation — and states on its face which claims are withdrawn or reversed. All accuracy figures use the standard root-independent unrooted RF (RF/2(n−3)), with Wilcoxon signed-rank tests on integer RF counts.</w:t>
      </w:r>
    </w:p>
    <w:p>
      <w:pPr>
        <w:spacing w:after="20" w:before="0" w:line="24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19"/>
        </w:rPr>
        <w:t>Recommended Reviewers</w:t>
      </w:r>
    </w:p>
    <w:p>
      <w:pPr>
        <w:spacing w:after="2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We suggest the following researchers as potential reviewers (please note that we have avoided suggesting direct collaborators):</w:t>
      </w:r>
    </w:p>
    <w:p>
      <w:pPr>
        <w:spacing w:after="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Dr. Bernard Haubold (Max Planck Institute for Chemical Ecology) — developer of andi, a suffix array-based alignment-free method.</w:t>
      </w:r>
    </w:p>
    <w:p>
      <w:pPr>
        <w:spacing w:after="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Dr. Olga Vekshina (University of Texas) — expert in alignment-free phylogenetics and spaced seed design.</w:t>
      </w:r>
    </w:p>
    <w:p>
      <w:pPr>
        <w:spacing w:after="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Dr. Daniel Huson (University of Tübingen) — developer of SplitsTree and contributor to disk-covering methods.</w:t>
      </w:r>
    </w:p>
    <w:p>
      <w:pPr>
        <w:spacing w:after="10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Dr. Rob Knight (University of California, San Diego) — expert in microbiome phylogenetic analysis and alignment-free methods.</w:t>
      </w:r>
    </w:p>
    <w:p>
      <w:pPr>
        <w:spacing w:after="40" w:before="0" w:line="240" w:lineRule="auto"/>
      </w:pPr>
      <w:r>
        <w:rPr>
          <w:rFonts w:ascii="Times New Roman" w:hAnsi="Times New Roman" w:eastAsia="Times New Roman" w:cs="Times New Roman"/>
          <w:b/>
          <w:i w:val="0"/>
          <w:color w:val="000000"/>
          <w:sz w:val="19"/>
        </w:rPr>
        <w:t>Software and data availability.</w:t>
      </w:r>
    </w:p>
    <w:p>
      <w:pPr>
        <w:spacing w:after="12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Fusang: Tardigrade Edition is released under the MIT license with pre-compiled FastME binaries (Windows/Linux x86-64), benchmark scripts and analysis code at https://github.com/zhanglknt/fusang-tardigrade, archived at https://doi.org/10.5281/zenodo.20746742. All benchmark datasets — the 130-seed n=200 indel results, the n=500 and n=1,000 multi-seed data, the 30-seed Linux MAFFT+FastTree2 comparison, the Mash, kmacs and Skmer runs, the AFproject real-genome benchmarks, the 150-scenario classifier validation, the 73-taxon 16S rRNA dataset and the BAliBASE v3.0 results — are in the repository and as Supplementary Data (Supplementary Tables S1–S17). Inference on 10,000 taxa completes in 69.8 s with peak memory below 1 GB.</w:t>
      </w:r>
    </w:p>
    <w:p>
      <w:pPr>
        <w:spacing w:after="12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No competing interests are declared. Support: National Natural Science Foundation of China (32370682) and the Prevention and Control of Emerging and Major Infectious Diseases — National Science and Technology Major Project (2026ZD01910500).</w:t>
      </w:r>
    </w:p>
    <w:p>
      <w:pPr>
        <w:spacing w:after="16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We confirm that this manuscript has not been published elsewhere and is not under consideration by any other journal, and that all authors have read and approved it.</w:t>
      </w:r>
    </w:p>
    <w:p>
      <w:pPr>
        <w:spacing w:after="2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Sincerely,</w:t>
      </w:r>
    </w:p>
    <w:p>
      <w:pPr>
        <w:spacing w:after="2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Li Zhang, Ph.D. — corresponding author, on behalf of all authors (first author: Lei Kong).</w:t>
      </w:r>
    </w:p>
    <w:p>
      <w:pPr>
        <w:spacing w:after="0" w:before="0" w:line="240" w:lineRule="auto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19"/>
        </w:rPr>
        <w:t>Institute of Blood Transfusion, Chinese Academy of Medical Sciences and Peking Union Medical College; 26 Huacai Road, Longtan Industrial Park, Chenghua District, Chengdu 610052, Sichuan, China. Email: knightz@pumc.edu.cn</w:t>
      </w:r>
    </w:p>
    <w:sectPr w:rsidR="00FC693F" w:rsidRPr="0006063C" w:rsidSect="00034616"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