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1"/>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1"/>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1"/>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p>
      <w:pPr>
        <w:pStyle w:val="FirstParagraph"/>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p>
      <w:pPr>
        <w:pStyle w:val="BodyText"/>
      </w:pPr>
      <w:r>
        <w:rPr>
          <w:b/>
          <w:bCs/>
        </w:rPr>
        <w:t xml:space="preserve">Table 4. Multi-k ensemble vs single-k configuration (n=200, indel rate=0.02, 30 seeds). All nRF values are FT2-relative (vs the FastTree2 reference tree), consistent with Table 7.</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p>
      <w:pPr>
        <w:pStyle w:val="BodyText"/>
      </w:pPr>
      <w:r>
        <w:rPr>
          <w:b/>
          <w:bCs/>
        </w:rPr>
        <w:t xml:space="preserve">Table 5. Pipeline-level validation against TRUE tree (n=200, indel=0.02, 30 seeds). All nRF values are TRUE-relative (vs simulated coalescent ground truth). Note: this benchmark uses a coalescent simulation protocol, independent of the guide-tree protocol used in Tables 1 and 3;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2"/>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initial evidence warranting larger-scale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2"/>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4), but should be treated as encouraging preliminary evidence rather than conclusive demonstration.</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pStyle w:val="BodyText"/>
      </w:pPr>
      <w:r>
        <w:rPr>
          <w:b/>
          <w:bCs/>
        </w:rPr>
        <w:t xml:space="preserve">Table 7.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3"/>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3"/>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values from the 30-seed benchmark; the independent 112-seed benchmark yields p=0.052)</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4"/>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4"/>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4"/>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p>
      <w:pPr>
        <w:pStyle w:val="FirstParagraph"/>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2026-10-08T17:47:18Z</dcterms:created>
  <dcterms:modified xsi:type="dcterms:W3CDTF">2026-10-08T17:47:18Z</dcterms:modified>
</cp:coreProperties>
</file>

<file path=docProps/custom.xml><?xml version="1.0" encoding="utf-8"?>
<Properties xmlns="http://schemas.openxmlformats.org/officeDocument/2006/custom-properties" xmlns:vt="http://schemas.openxmlformats.org/officeDocument/2006/docPropsVTypes"/>
</file>