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framework that systematically evaluates k-mer frequency vector cosine distances — across spaced and contiguous patterns — for phylogenetic inference under indel-rich conditions. On simulated indel-rich data (n=200, indel rate=0.02), Fusang matches FastTree2 accuracy against the simulated ground-truth tree (nRF=0.080±0.016 vs 0.084±0.019, 112 seeds after outlier exclusion, paired Wilcoxon p=0.052), while MSA methods retain a significant advantage on clean data at n≥500 (p&lt;0.001). A multi-k distance ensemble improves accuracy without manual k selection (nRF=0.105±0.021 vs 0.112±0.019, p=0.006) and significantly outperforms MAFFT+FastTree2 under indel-rich coalescent simulation (nRF=0.583±0.044 vs 0.601±0.055, 30 seeds, paired Wilcoxon p=0.024). Under indels, MinHash (Mash) and k-mer cosine distances degrade comparably from clean baselines (1.93× vs 1.97×), with cosine retaining lower error (nRF=0.742 vs 0.762). Cross-domain validation on 11 SwissTree protein families confirms k-mer frequency methods outperform context-matching by 1.5× (p=0.006). A random forest boundary classifier distinguishes homogeneous from structured simulated datasets (88/88 scenarios, 95% CI [0.958, 1.0]). Fusang infers trees for 10,000 taxa in under a minute on a 4-core workstation.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have theoretical motivation for robustness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reduces topological error by 21.5% relative to the single-k configuration (TRUE-relative nRF=0.583±0.044 vs 0.743±0.046, 30 seeds, Wilcoxon p&lt;0.0001, paired d=3.82). On the full 30-seed coalescent benchmark (Linux), the ensemble significantly outperforms MAFFT+FastTree2 (nRF=0.583±0.044 vs 0.601±0.055, paired Wilcoxon p=0.024, paired d=0.45, ensemble wins 19/30; borderline after Bonferroni correction across the three pipeline-level comparisons, p_adj=0.071), with both methods remaining substantially distant from the TRUE tree (nRF≈0.58–0.60).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nRF=0.084±0.019,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g denotes the number of skipped positions between consecutive sampled positions. The default configuration k=5, g=2 corresponds to the pattern 1001001001001 (5 sampled positions spanning 13 nucleotides), and k=4, g=1 corresponds to 1010101 (4 sampled positions spanning 7 nucleotides). Contiguous k-mers are the special case g=0.</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a small exploratory benchmark on simulated data (n=200, indel=0.02, 10 seeds), cosine distance achieved mean nRF=0.078 vs JSD mean nRF=0.091; this comparison informed the heuristic choice of cosine distance for the simplified pipeline and should not be interpreted as a confirmatory test.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 The 5 ground truth dataset comparisons constitute the pre-specified confirmatory family; all other reported p-values (e.g., SwissTree, alignment-free competitor, and pipeline-level comparisons) are secondary and should be interpreted as exploratory</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and protein benchmarks (see Results).</w:t>
      </w:r>
    </w:p>
    <w:p>
      <w:pPr>
        <w:pStyle w:val="Compact"/>
        <w:numPr>
          <w:ilvl w:val="0"/>
          <w:numId w:val="1003"/>
        </w:numPr>
      </w:pPr>
      <w:r>
        <w:rPr>
          <w:b/>
          <w:bCs/>
        </w:rPr>
        <w:t xml:space="preserve">kmacs</w:t>
      </w:r>
      <w:r>
        <w:t xml:space="preserve"> </w:t>
      </w:r>
      <w:r>
        <w:t xml:space="preserve">[12]: k-mismatch average common substring distance. Tested on the DNA indel benchmark (27 seeds) with a k-parameter scan (k∈{3,5,10}; best configuration k=3, see Results). Compiled from the original source distribution and executed on WSL2 Ubuntu-24.04.</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rPr>
          <w:color w:val="000000"/>
        </w:rPr>
        <w:t xml:space="preserve">RESULTS</w:t>
      </w:r>
    </w:p>
    <w:bookmarkStart w:id="31"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(Table 2) uses an independent coalescent simulation protocol, distinct from the guide-tree protocol used in Table 1 and the indel-rate scan in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13.2% advantage at indel=0.05 (Table 3). At the biologically realistic indel rate of 0.02, Fusang approaches FastTree2 accuracy (TRUE-relative nRF: Fusang 0.080 ± 0.016 vs FastTree2 0.084 ± 0.019, 112 seeds, paired Wilcoxon p=0.052).</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nRF=0.084 ± 0.019; Cohen’s d=−0.20 [95% CI: −0.42, 0.02]; Fusang lower nRF in 60/112 seeds (53.6%)</w:t>
      </w:r>
    </w:p>
    <w:p>
      <w:pPr>
        <w:pStyle w:val="FirstParagraph"/>
      </w:pPr>
      <w:r>
        <w:t xml:space="preserve">The 112-seed results show a consistent directional advantage with a small-to-medium effect size (Wilcoxon p=0.052, borderline at α=0.05).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 (see Supplementary Figure S6 for effect size analyses across benchmarks).</w:t>
      </w:r>
    </w:p>
    <w:p>
      <w:pPr>
        <w:pStyle w:val="BodyText"/>
      </w:pPr>
      <w:r>
        <w:t xml:space="preserve">The per-seed nRF distributions reveal that Fusang’s standard deviation (σ=0.016) is comparable to FastTree2’s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pipeline-level validation against the TRUE simulated coalescent tree (n=200, L=1000 bp, sub=0.05, indel=0.02, 30 seeds).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w:t>
      </w:r>
      <w:r>
        <w:t xml:space="preserve"> </w:t>
      </w:r>
      <w:r>
        <w:rPr>
          <w:rStyle w:val="VerbatimChar"/>
        </w:rPr>
        <w:t xml:space="preserve">-nt -gtr -nosupport</w:t>
      </w:r>
      <w:r>
        <w:t xml:space="preserve">), replacing an earlier 5-seed Windows run whose MAFFT instability had limited the comparison (see Supplementary Note S8 for the protocol correction and limitation analysis).</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6"/>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bookmarkEnd w:id="37"/>
    <w:bookmarkStart w:id="38"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(Table 6;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rPr>
          <w:color w:val="000000"/>
        </w:rPr>
        <w:t xml:space="preserve">Comparison with existing alignment-free methods</w:t>
      </w:r>
    </w:p>
    <w:p>
      <w:pPr>
        <w:pStyle w:val="FirstParagraph"/>
      </w:pPr>
      <w:r>
        <w:t xml:space="preserve">We compared Fusang against established alignment-free phylogenetic methods on simulated indel-rich data (n=200, sub=0.05, indel=0.02, 27 seeds, seed set 100–126; Table 7; per-seed data: Supplementary Table S10): Co-phylog (context-object matching), kmacs (k-mismatch average common substring [12]), and k-mer cosine baselines, plus Skmer [29] (genome-skim distance estimation), which proved structurally inapplicable at gene length (see below). All values in Table 7 are computed on this single common seed set and reference protocol (FT2-relative; all methods’ trees compared against the FastTree2 tree of the same seed).</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8"/>
        </w:numPr>
      </w:pPr>
      <w:r>
        <w:rPr>
          <w:b/>
          <w:bCs/>
        </w:rPr>
        <w:t xml:space="preserve">Simple k-mer cosine distances achieve accuracy statistically indistinguishable from spaced k-mers.</w:t>
      </w:r>
      <w:r>
        <w:t xml:space="preserve"> </w:t>
      </w:r>
      <w:r>
        <w:t xml:space="preserve">Standard contiguous k-mer cosine distance (k=5 or k=7) achieves nRF≈0.10–0.11, statistically indistinguishable from Fusang’s spaced k-mer configuration (k=5: 0.104 vs 0.108, p=0.26, paired d=−0.21). This indicates that at the tested indel rate (0.02), the spaced k-mer gap pattern provides no measurable advantage over contiguous k-mers on this DNA benchmark — consistent with the protein-domain result (p=0.31; see Cross-domain validation below). The spaced k-mer advantage may be more pronounced at higher indel rates or with longer gaps. On this 27-seed competitor seed set the multi-k ensemble is likewise statistically indistinguishable from the default spaced configuration (0.111 vs 0.108, p=0.30); the ensemble’s significant improvement over the default is established on the pre-specified 30-seed benchmark (Table 4, seed set 230–259, p=0.006).</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bookmarkEnd w:id="39"/>
    <w:bookmarkStart w:id="40"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k=5,gap2).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given the small number of assessable groups, we treat this recovery-rate comparison as descriptive.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2"/>
    <w:bookmarkStart w:id="43"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This benchmark comprises 11 protein gene families (29–159 taxa, 109–576 amino acids per sequence) with trusted reference trees from the SwissTree database (Table 10; per-family data: Supplementary Tables S11–S12).</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3"/>
    <w:bookmarkStart w:id="44"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rPr>
          <w:color w:val="000000"/>
        </w:rPr>
        <w:t xml:space="preserve">DISCUSSION</w:t>
      </w:r>
    </w:p>
    <w:bookmarkStart w:id="47"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spaced patterns provide domain-dependent secondary benefits.</w:t>
      </w:r>
      <w:r>
        <w:t xml:space="preserve"> </w:t>
      </w:r>
      <w:r>
        <w:t xml:space="preserve">At the tested indel rate (0.02), contiguous k=5 cosine (nRF=0.104) is statistically indistinguishable from spaced k=5,gap2 (nRF=0.108, p=0.26), and the multi-k ensemble matches both (nRF=0.105–0.111 across the two benchmark seed sets).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0"/>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 We note that the n=1000 threshold was derived from the DCM degradation analysis at n=200 and from scalability timings; a direct accuracy comparison between the simplified and DCM pipelines in the n=500–1000 transition zone has not been performed.</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 Supplementary Table S7).</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protocol and portability</w:t>
      </w:r>
      <w:r>
        <w:t xml:space="preserve">: The definitive L3 (MAFFT+FastTree2) comparison is now based on a complete 30-seed run executed on Linux (WSL2 Ubuntu-24.04) with an explicitly nucleotide FastTree2 protocol (</w:t>
      </w:r>
      <w:r>
        <w:rPr>
          <w:rStyle w:val="VerbatimChar"/>
        </w:rPr>
        <w:t xml:space="preserve">-nt -gtr -nosupport</w:t>
      </w:r>
      <w:r>
        <w:t xml:space="preserve">); an earlier 5-seed Windows run was affected both by MAFFT instability (empty alignments on 25/30 seeds) and by an inadvertently omitted</w:t>
      </w:r>
      <w:r>
        <w:t xml:space="preserve"> </w:t>
      </w:r>
      <w:r>
        <w:rPr>
          <w:rStyle w:val="VerbatimChar"/>
        </w:rPr>
        <w:t xml:space="preserve">-nt</w:t>
      </w:r>
      <w:r>
        <w:t xml:space="preserve"> </w:t>
      </w:r>
      <w:r>
        <w:t xml:space="preserve">flag (protein-mode distance settings on DNA input), and is superseded (Supplementary Note S8). Both L1 (nRF=0.583) and L3 (nRF=0.601) remain substantially distant from the TRUE tree under this deliberately harsh coalescent protocol (~58–60% bipartition error); the L1 advantage (p=0.024) is borderline after Bonferroni correction (p_adj=0.071). The Linux requirement itself is a practical portability constraint: native-Windows MAFFT proved unreliable at this scale.</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head-to-head comparison with four classical alignment-free methods — andi [25], Co-phylog [26], kmacs [12], and Skmer [29] — across simulated DNA (Table 7, 27 seeds, seed set 100–126) and real protein data (Table 10, AFproject SwissTree, 11 gene families). K-mer frequency methods consistently outperform the alternatives: Co-phylog’s context-matching approach fails under indels (DNA nRF=0.408, 3.8× worse than Fusang, paired d=11.91) and on protein data (best config halfctx=11 nRF=0.361 vs Fusang nRF=0.239, d=1.32, p=0.006); kmacs (best of k∈{3,5,10}) is significantly less accurate under indels (nRF=0.177 vs Fusang 0.108, p=5.6×10⁻⁶, paired d=2.54); while andi (suffix-array anchors) and Skmer (genome-skim coverage model, division-by-zero on 500-bp inputs at k=31 and k=21) are structurally inapplicable to gene-length sequences by design.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Two method families remain untested: FFP [31], which pioneered feature frequency profiles for whole-genome comparison, and the broader spaced-word frequency family [13]; systematic comparison under indel-rich conditions represents future work.</w:t>
      </w:r>
    </w:p>
    <w:p>
      <w:pPr>
        <w:pStyle w:val="BodyText"/>
      </w:pPr>
      <w:r>
        <w:t xml:space="preserve">Future work will explore: (1) optimized k-mer sets and fusion weights for the multi-k ensemble, potentially including spaced k-mers in the ensemble; (2) validation on real indel-rich biological datasets (e.g., multi-gene families with documented indel evolution and trusted reference trees) to complement the simulation-based L1-vs-L3 comparison;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On the full 30-seed coalescent benchmark the ensemble significantly outperforms MAFFT+FastTree2 (nRF=0.583±0.044 vs 0.601±0.055, paired Wilcoxon p=0.024; borderline after Bonferroni correction) while requiring no alignment step (~2× faster per seed). Both L1 and L3 remain substantially distant from the TRUE tree under this deliberately harsh protocol (nRF≈0.58–0.60), so outputs should be treated as rapid first-pass topologies.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kmacs (k=3,5,10), k-mer cosine (k=5, k=7 contiguous), Fusang (k=5,gap2 spaced), and the multi-k ensemble on n=200 indel data (27 seeds, seed set 100–126; FT2-relative and TRUE-relative).</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L=1000 bp, indel=0.02, 30 seeds, all levels complete). L3 executed on Linux (WSL2 Ubuntu-24.04, MAFFT –auto + FastTree2 -nt -gtr -nosupport); supersedes the earlier 5-seed Windows run (Supplementary Note S8).</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(Linux rerun with corrected nucleotide protocol</w:t>
      </w:r>
      <w:r>
        <w:t xml:space="preserve"> </w:t>
      </w:r>
      <w:r>
        <w:rPr>
          <w:rStyle w:val="VerbatimChar"/>
        </w:rPr>
        <w:t xml:space="preserve">-nt -gtr -nosupport</w:t>
      </w:r>
      <w:r>
        <w:t xml:space="preserve">), TRUE tree generation, Windows MAFFT instability analysis, and supersession of the earlier 5-seed Windows run (which omitted the -nt nucleotide flag).</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(Linux), Mash benchmark, kmacs and Skmer competitor benchmarks (including the Skmer inapplicability record),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Benchmark input files affected by a storage-corruption incident were regenerated deterministically (simulation code is seeded; regenerated FASTA and TRUE-tree files were validated byte-identical to originals) and all affected tables were recomputed; the recovery procedure is documented in the reproducibility package.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rPr>
          <w:color w:val="000000"/>
        </w:rPr>
        <w:t xml:space="preserve">REFERENCES</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Wong, K.M., Suchard, M.A. and Huelsenbeck, J.P.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2"/>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2"/>
        </w:numPr>
      </w:pPr>
      <w:r>
        <w:t xml:space="preserve">Zielezinski, A. et al. (2019) Benchmarking of alignment-free sequence comparison methods.</w:t>
      </w:r>
      <w:r>
        <w:t xml:space="preserve"> </w:t>
      </w:r>
      <w:r>
        <w:rPr>
          <w:i/>
          <w:iCs/>
        </w:rPr>
        <w:t xml:space="preserve">Genome Biol.</w:t>
      </w:r>
      <w:r>
        <w:t xml:space="preserve">, 20, 144. DOI: 10.1186/s13059-019-1755-7</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Ondov, B.D. et al. (2016) Mash: fast genome and metagenome distance estimation using MinHash.</w:t>
      </w:r>
      <w:r>
        <w:t xml:space="preserve"> </w:t>
      </w:r>
      <w:r>
        <w:rPr>
          <w:i/>
          <w:iCs/>
        </w:rPr>
        <w:t xml:space="preserve">Genome Biol.</w:t>
      </w:r>
      <w:r>
        <w:t xml:space="preserve">, 17, 132. DOI: 10.1186/s13059-016-0997-x</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0"/>
    <w:bookmarkStart w:id="61"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13.2%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9,800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2026-10-09T06:38:47Z</dcterms:created>
  <dcterms:modified xsi:type="dcterms:W3CDTF">2026-10-09T06:38:47Z</dcterms:modified>
</cp:coreProperties>
</file>

<file path=docProps/custom.xml><?xml version="1.0" encoding="utf-8"?>
<Properties xmlns="http://schemas.openxmlformats.org/officeDocument/2006/custom-properties" xmlns:vt="http://schemas.openxmlformats.org/officeDocument/2006/docPropsVTypes"/>
</file>