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Date: 22 October 2026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To: The Editor, Nucleic Acids Research, Oxford University Press</w:t>
      </w:r>
    </w:p>
    <w:p>
      <w:pPr>
        <w:spacing w:after="16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Re: Submission of a Methods Article</w:t>
      </w:r>
    </w:p>
    <w:p>
      <w:pPr>
        <w:spacing w:after="20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Title: Fusang: Tardigrade Edition — K-mer Frequency Vector Alignment-Free Phylogenetic Inference Resilient to Indel-Rich Sequence Evolution</w:t>
      </w:r>
    </w:p>
    <w:p>
      <w:pPr>
        <w:spacing w:after="10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Dear Editor,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We submit the above manuscript for consideration as a Methods Article in Nucleic Acids Research. It is a systematic evaluation of k-mer frequency vector cosine distances — spaced and contiguous patterns — for phylogenetic inference under indel-rich sequence evolution, delivered as open-source software (Fusang: Tardigrade Edition) with automatic parameter selection, a multi-k ensemble requiring no manual choice of k, and an empirically delimited domain of applicability. Three findings are of principal interest: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1. Indel robustness is real but rate-dependent, and we locate the crossover.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On INDELible-simulated gene-length data (n=200, L=500 bp, 130 independent seeds, scored against the true tree), Fusang's accuracy relative to MAFFT+FastTree2 improves monotonically with indel rate and crosses zero between 0.01 and 0.02: it is significantly worse at 0.005 (−8.9%, p=1.75×10⁻¹¹) and at 0.01 (−5.1%, p=5.20×10⁻⁵), numerically but not significantly better at 0.02 (nRF 0.199 ± 0.030 vs 0.205 ± 0.030, p=0.0507), and clearly better at 0.05 (+10.9%; 0.180 vs 0.202, p=1.27×10⁻¹¹, better in 99/130 seeds). The advantage is concentrated at high indel density, and we report it as such.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2. The multi-k ensemble removes manual k selection and is the most accurate configuration we tested at gene length.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On the same 130-seed benchmark the ensemble (contiguous k=5/7/9 averaged) attains nRF=0.1940 against 0.1990 for the default spaced-k plus NNI pipeline (p=7.7×10⁻³, better in 72/130 seeds), while tying the best single k (contiguous k=7, 0.1938; p=0.669). Under an independent 30-seed protocol at L=1000 bp, multi-k fusion cuts error by 8.7% relative to single-k (0.137 vs 0.150, p=0.00206), reaching within ~11% relative error of MAFFT+FastTree2 (0.124) with no alignment step. On real indel-rich data — 25 fish mitochondrial genomes, 9.1% gap cells in the alignment — multi-k cosine reaches nRF=0.045, identical to MAFFT+FastTree2 and to the best published alignment-free configurations, where the gene-scale default (k=5) saturates at 0.545.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3. “Alignment-free” is not one category, and we map its boundaries.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At gene length (L=500 bp) MinHash Jaccard (Mash, k=21) is far less accurate than k-mer cosine in both conditions (clean 0.3486 vs 0.2364, paired d=3.12; indel 0.4034 vs 0.1926, d=2.61; Fusang better in 30/30 seeds in both), and the two respond to indels in opposite directions (Mash degrades 1.16× while k-mer cosine improves 0.83×). We also state where k-mer cosine should not be preferred: strain-level bacterial genomes (E. coli/Shigella, plateau nRF=0.500) and structurally conserved RNA genes.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Transparency.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This version supersedes values carried by earlier iterations of the work — data from a coalescent simulator we regard as defective, and figures from a root-dependent RF implementation — and states on its face which claims are withdrawn or reversed. All accuracy figures use the standard root-independent unrooted RF (RF/2(n−3)), with Wilcoxon signed-rank tests on integer RF counts.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20"/>
        </w:rPr>
        <w:t>Software and data availability.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Fusang: Tardigrade Edition is released under the MIT license with pre-compiled FastME binaries (Windows/Linux x86-64), benchmark scripts and analysis code at https://github.com/zhanglknt/fusang-tardigrade, archived at https://doi.org/10.5281/zenodo.20746742. All benchmark datasets — the 130-seed n=200 indel results, the n=500 and n=1,000 multi-seed data, the 30-seed Linux MAFFT+FastTree2 comparison, the Mash, kmacs and Skmer runs, the AFproject real-genome benchmarks, the 150-scenario classifier validation, the 73-taxon 16S rRNA dataset and the BAliBASE v3.0 results — are in the repository and as Supplementary Data. Inference on 10,000 taxa completes in 69.8 s with peak memory below 1 GB.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No competing interests are declared. Support: National Natural Science Foundation of China (32370682) and the Prevention and Control of Emerging and Major Infectious Diseases — National Science and Technology Major Project (2026ZD01910500).</w:t>
      </w:r>
    </w:p>
    <w:p>
      <w:pPr>
        <w:spacing w:after="16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We confirm that this manuscript has not been published elsewhere and is not under consideration by any other journal, and that all authors have read and approved it.</w:t>
      </w:r>
    </w:p>
    <w:p>
      <w:pPr>
        <w:spacing w:after="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Sincerely,</w:t>
      </w:r>
    </w:p>
    <w:p>
      <w:pPr>
        <w:spacing w:after="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Li Zhang, Ph.D. — corresponding author, on behalf of all authors (first author: Lei Kong).</w:t>
      </w:r>
    </w:p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Institute of Blood Transfusion, Chinese Academy of Medical Sciences and Peking Union Medical College; 26 Huacai Road, Longtan Industrial Park, Chenghua District, Chengdu 610052, Sichuan, China. Email: knightz@pumc.edu.cn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