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rPr>
          <w:color w:val="000000"/>
        </w:rP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Lei Kong¹ and Li Zhang²·³·⁴,*</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Chengdu, China</w:t>
      </w:r>
    </w:p>
    <w:p>
      <w:pPr>
        <w:pStyle w:val="BodyText"/>
      </w:pPr>
      <w:r>
        <w:t xml:space="preserve">³ Chinese Institute for Brain Research, Beijing, China</w:t>
      </w:r>
    </w:p>
    <w:p>
      <w:pPr>
        <w:pStyle w:val="BodyText"/>
      </w:pPr>
      <w:r>
        <w:t xml:space="preserve">⁴ Translational Medical Center, Weifang Second People’s Hospital, 7 Yuanxiao St., Weifang, 261041, Shandong Province,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rPr>
          <w:color w:val="000000"/>
        </w:rPr>
        <w:t xml:space="preserve">ABSTRACT</w:t>
      </w:r>
    </w:p>
    <w:p>
      <w:pPr>
        <w:pStyle w:val="FirstParagraph"/>
      </w:pPr>
      <w:r>
        <w:t xml:space="preserve">Multiple sequence alignment (MSA) scales poorly with dataset size and introduces systematic errors under insertions and deletions (indels), yet alignment-free methods have historically underperformed MSA-based maximum likelihood (ML) approaches. We present Fusang: Tardigrade Edition, an alignment-free framework that systematically evaluates k-mer frequency vector cosine distances — across spaced and contiguous patterns — for phylogenetic inference under indel-rich conditions. On simulated indel-rich data (n=200, indel rate=0.02), Fusang matches FastTree2 accuracy against the simulated ground-truth tree (nRF=0.080±0.016 vs 0.084±0.019, 112 seeds after pre-specified outlier exclusion, paired Wilcoxon p=0.052, borderline), while MSA methods retain a significant advantage on clean data at n≥500 (p&lt;0.001). A multi-k distance ensemble further improves accuracy without manual k selection (nRF=0.105±0.021 vs 0.112±0.019, p=0.006). Under indels, both MinHash (Mash) and k-mer cosine distances degrade severely relative to their clean baselines (1.93× vs 1.97×), though cosine distances retain marginally lower absolute error (nRF=0.742 vs 0.762, 30 seeds). Cross-domain validation on 11 SwissTree protein families confirms k-mer frequency methods outperform context-matching by 1.5× (p=0.006). A random forest boundary classifier distinguishes homogeneous from structured datasets (88/88 scenarios, 95% CI [0.958, 1.0]). Fusang infers trees for 10,000 taxa in under a minute on a 4-core workstation.</w:t>
      </w:r>
    </w:p>
    <w:p>
      <w:r>
        <w:pict>
          <v:rect style="width:0;height:1.5pt" o:hralign="center" o:hrstd="t" o:hr="t"/>
        </w:pict>
      </w:r>
    </w:p>
    <w:bookmarkEnd w:id="9"/>
    <w:bookmarkStart w:id="13" w:name="introduction"/>
    <w:p>
      <w:pPr>
        <w:pStyle w:val="Heading2"/>
      </w:pPr>
      <w:r>
        <w:rPr>
          <w:color w:val="000000"/>
        </w:rPr>
        <w:t xml:space="preserve">INTRODUCTION</w:t>
      </w:r>
    </w:p>
    <w:p>
      <w:pPr>
        <w:pStyle w:val="FirstParagraph"/>
      </w:pPr>
      <w:r>
        <w:t xml:space="preserve">Phylogenetic inference is foundational to evolutionary biology, from tracing viral outbreaks [1] to reconstructing the tree of life [2].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[3,4,5].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rPr>
          <w:color w:val="000000"/>
        </w:rPr>
        <w:t xml:space="preserve">The Fusang lineage: from deep learning to k-mer features</w:t>
      </w:r>
    </w:p>
    <w:p>
      <w:pPr>
        <w:pStyle w:val="FirstParagraph"/>
      </w:pPr>
      <w:r>
        <w:t xml:space="preserve">We previously introduced Fusang v1 [6],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rPr>
          <w:color w:val="000000"/>
        </w:rPr>
        <w:t xml:space="preserve">K-mer frequency vectors in phylogenetics: status and opportunities</w:t>
      </w:r>
    </w:p>
    <w:p>
      <w:pPr>
        <w:pStyle w:val="FirstParagraph"/>
      </w:pPr>
      <w:r>
        <w:t xml:space="preserve">K-mer frequency vectors have been applied to multiple sequence analysis tasks including protein classification [7], metagenomic binning [8], and genome assembly. In phylogenetic inference, prior alignment-free work (reviewed in [9,10]) includes hierarchical phylogenomic inference [11], kmacs [12] (gapped k-mismatch substring matching), spaced-word frequency methods [13], and the Alfpy toolkit with the AFproject benchmark [14],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spaced 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provide theoretical robustness at high indel rates, though the practical advantage over contiguous k-mers is modest at the tested indel rate (0.02); and (3) MinHash-based methods degrade severely under indels (1.93× relative nRF increase), while k-mer cosine distances retain marginally lower absolute error.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rPr>
          <w:color w:val="000000"/>
        </w:rP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achieves nRF=0.583±0.045 vs MAFFT+FastTree2 nRF=0.592±0.041 on n=5 valid seeds (p=0.24), with both methods remaining substantially distant from the TRUE tree (nRF≈0.58–0.59).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(TRUE-relative nRF=0.080±0.016 vs FastTree2 nRF=0.084±0.019, paired Wilcoxon p=0.052, 112 seeds, borderline). Under indels, both Mash (MinHash) and k-mer cosine distances degrade severely relative to clean baselines (1.93× vs 1.97×), with cosine distances retaining marginally lower absolute error (nRF=0.742 vs 0.762,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0" w:name="materials-and-methods"/>
    <w:p>
      <w:pPr>
        <w:pStyle w:val="Heading2"/>
      </w:pPr>
      <w:r>
        <w:rPr>
          <w:color w:val="000000"/>
        </w:rPr>
        <w:t xml:space="preserve">MATERIALS AND METHODS</w:t>
      </w:r>
    </w:p>
    <w:bookmarkStart w:id="14" w:name="spaced-k-mer-feature-extraction"/>
    <w:p>
      <w:pPr>
        <w:pStyle w:val="Heading3"/>
      </w:pPr>
      <w:r>
        <w:rPr>
          <w:color w:val="000000"/>
        </w:rP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rPr>
          <w:color w:val="000000"/>
        </w:rP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achieve lower absolute nRF than MinHash Jaccard under indels (see Results).</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rPr>
          <w:color w:val="000000"/>
        </w:rP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rPr>
          <w:color w:val="000000"/>
        </w:rP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and alignment-free competitor comparison (see Results) use NJ (BioPython) for consistency with the AFproject community standard, which requires identical tree builders across methods. All scalability benchmarks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rPr>
          <w:color w:val="000000"/>
        </w:rPr>
        <w:t xml:space="preserve">Divide-and-conquer pipeline (n &gt; 1000)</w:t>
      </w:r>
    </w:p>
    <w:p>
      <w:pPr>
        <w:pStyle w:val="FirstParagraph"/>
      </w:pPr>
      <w:r>
        <w:t xml:space="preserve">For large datasets, Fusang employs the Disk-Covering Method (DCM [3,15]):</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[16])</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rPr>
          <w:color w:val="000000"/>
        </w:rPr>
        <w:t xml:space="preserve">FastME integration</w:t>
      </w:r>
    </w:p>
    <w:p>
      <w:pPr>
        <w:pStyle w:val="FirstParagraph"/>
      </w:pPr>
      <w:r>
        <w:t xml:space="preserve">FastME v2.1.6.4 [17] is the default tree builder. FastME implements the Minimum Evolution principle with bioNJ [18]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rPr>
          <w:color w:val="000000"/>
        </w:rP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rPr>
          <w:color w:val="000000"/>
        </w:rPr>
        <w:t xml:space="preserve">Benchmark design</w:t>
      </w:r>
    </w:p>
    <w:bookmarkStart w:id="21" w:name="simulated-data-without-indels"/>
    <w:p>
      <w:pPr>
        <w:pStyle w:val="Heading4"/>
      </w:pPr>
      <w:r>
        <w:rPr>
          <w:color w:val="000000"/>
        </w:rPr>
        <w:t xml:space="preserve">Simulated data (without indels)</w:t>
      </w:r>
    </w:p>
    <w:p>
      <w:pPr>
        <w:pStyle w:val="FirstParagraph"/>
      </w:pPr>
      <w:r>
        <w:t xml:space="preserve">Sequence alignments were generated using INDELible [19]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rPr>
          <w:color w:val="000000"/>
        </w:rP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rPr>
          <w:color w:val="000000"/>
        </w:rP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moderate power (~75%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rPr>
          <w:color w:val="000000"/>
        </w:rP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rPr>
          <w:color w:val="000000"/>
        </w:rP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[6]: deep learning-based, 4–40 taxa limit</w:t>
      </w:r>
    </w:p>
    <w:p>
      <w:pPr>
        <w:pStyle w:val="Compact"/>
        <w:numPr>
          <w:ilvl w:val="0"/>
          <w:numId w:val="1003"/>
        </w:numPr>
      </w:pPr>
      <w:r>
        <w:rPr>
          <w:b/>
          <w:bCs/>
        </w:rPr>
        <w:t xml:space="preserve">FastTree2 v2.2.0</w:t>
      </w:r>
      <w:r>
        <w:t xml:space="preserve"> </w:t>
      </w:r>
      <w:r>
        <w:t xml:space="preserve">[20]: GTR+CAT approximation, MAFFT alignment [21]</w:t>
      </w:r>
    </w:p>
    <w:p>
      <w:pPr>
        <w:pStyle w:val="Compact"/>
        <w:numPr>
          <w:ilvl w:val="0"/>
          <w:numId w:val="1003"/>
        </w:numPr>
      </w:pPr>
      <w:r>
        <w:rPr>
          <w:b/>
          <w:bCs/>
        </w:rPr>
        <w:t xml:space="preserve">RAxML-NG v1.2.0</w:t>
      </w:r>
      <w:r>
        <w:t xml:space="preserve"> </w:t>
      </w:r>
      <w:r>
        <w:t xml:space="preserve">[22]: GTR+Γ, 10 parsimony + 10 random starting trees, MAFFT alignment</w:t>
      </w:r>
    </w:p>
    <w:p>
      <w:pPr>
        <w:pStyle w:val="Compact"/>
        <w:numPr>
          <w:ilvl w:val="0"/>
          <w:numId w:val="1003"/>
        </w:numPr>
      </w:pPr>
      <w:r>
        <w:rPr>
          <w:b/>
          <w:bCs/>
        </w:rPr>
        <w:t xml:space="preserve">IQ-TREE2 v2.4.0</w:t>
      </w:r>
      <w:r>
        <w:t xml:space="preserve"> </w:t>
      </w:r>
      <w:r>
        <w:t xml:space="preserve">[23]: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 v2.3</w:t>
      </w:r>
      <w:r>
        <w:t xml:space="preserve"> </w:t>
      </w:r>
      <w:r>
        <w:t xml:space="preserve">[24]: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(Table 7) and protein (Table 10) benchmarks.</w:t>
      </w:r>
    </w:p>
    <w:bookmarkEnd w:id="25"/>
    <w:bookmarkStart w:id="26" w:name="hardware"/>
    <w:p>
      <w:pPr>
        <w:pStyle w:val="Heading4"/>
      </w:pPr>
      <w:r>
        <w:rPr>
          <w:color w:val="000000"/>
        </w:rP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rPr>
          <w:color w:val="000000"/>
        </w:rP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rPr>
          <w:color w:val="000000"/>
        </w:rP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rPr>
          <w:color w:val="000000"/>
        </w:rPr>
        <w:t xml:space="preserve">RESULTS</w:t>
      </w:r>
    </w:p>
    <w:bookmarkStart w:id="31" w:name="Xacca3c38c4078ee080ec286d7bfaf1635eeb5c7"/>
    <w:p>
      <w:pPr>
        <w:pStyle w:val="Heading3"/>
      </w:pPr>
      <w:r>
        <w:rPr>
          <w:color w:val="000000"/>
        </w:rP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(Figure 3, Supplementary Figure S3,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[16])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rPr>
          <w:color w:val="000000"/>
        </w:rP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0.077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4)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rPr>
          <w:color w:val="000000"/>
        </w:rPr>
        <w:t xml:space="preserve">Spaced k-mers vs MinHash approaches under indels</w:t>
      </w:r>
    </w:p>
    <w:p>
      <w:pPr>
        <w:pStyle w:val="FirstParagraph"/>
      </w:pPr>
      <w:r>
        <w:t xml:space="preserve">To evaluate the robustness of k-mer cosine distances against a widely-used alignment-free alternative, we compared Fusang (spaced k=5,gap2, cosine + NJ) with Mash (contiguous k=21, MinHash Jaccard + NJ) on both clean and indel-rich data (n=200, sub=0.05, indel=0.02), each with 30 seeds, benchmarking against the TRUE simulated coalescent tree (per-seed data: Supplementary Table S14). Note that this benchmark uses an independent coalescent simulation protocol, distinct from the guide-tree protocol used in Table 1 and Table 3; absolute nRF values are higher for all methods under this protocol and should not be compared across benchmarks.</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4"/>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rPr>
          <w:color w:val="000000"/>
        </w:rP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(TRUE-relative nRF: Fusang 0.080 ± 0.016 vs FastTree2 0.084 ± 0.019, 112 seeds, paired Wilcoxon p=0.052, borderline).</w:t>
      </w:r>
    </w:p>
    <w:p>
      <w:pPr>
        <w:pStyle w:val="BodyText"/>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13.3% relative advantage at 0.05 (calculated as (FT2_nRF − Fusang_nRF) / FT2_nRF × 100%). Table 5 reports an independent pipeline-level validation under a coalescent simulation protocol (single-k NJ: nRF=0.743, multi-k NJ: nRF=0.583), where absolute nRF values are higher for all methods.</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rPr>
          <w:color w:val="000000"/>
        </w:rP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Figure S4,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 both methods evaluated against the simulated ground-truth tree)</w:t>
      </w:r>
      <w:r>
        <w:t xml:space="preserve">: Fusang nRF=0.080 ± 0.016 vs FastTree2 nRF=0.084 ± 0.019;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rPr>
          <w:color w:val="000000"/>
        </w:rP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4.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multi-k-nj-comparison-with-msaml"/>
    <w:p>
      <w:pPr>
        <w:pStyle w:val="Heading3"/>
      </w:pPr>
      <w:r>
        <w:rPr>
          <w:color w:val="000000"/>
        </w:rPr>
        <w:t xml:space="preserve">Multi-k NJ: comparison with MSA+ML</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5. Pipeline-level validation against TRUE tree (n=200, indel=0.02, 30 seeds). All nRF values are TRUE-relative (vs simulated coalescent ground truth). Note: this benchmark uses a coalescent simulation protocol, independent of the guide-tree protocol used in Tables 1 and 3;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nRF to MSA+ML on a limited preliminary comparison.</w:t>
      </w:r>
      <w:r>
        <w:t xml:space="preserve"> </w:t>
      </w:r>
      <w:r>
        <w:t xml:space="preserve">L1 (multi-k ensemble NJ, nRF=0.583) and L3 (MAFFT+FastTree2, nRF=0.592) produce numerically comparable nRF values on the 5 seeds where both methods completed. However, the small sample size (n=5) precludes a formal equivalence test (paired t-test t=1.35, p=0.24), and these results should be interpreted as</w:t>
      </w:r>
      <w:r>
        <w:t xml:space="preserve"> </w:t>
      </w:r>
      <w:r>
        <w:rPr>
          <w:b/>
          <w:bCs/>
        </w:rPr>
        <w:t xml:space="preserve">initial evidence warranting larger-scale validation</w:t>
      </w:r>
      <w:r>
        <w:t xml:space="preserve">. The close numerical agreement on all 5 completed seeds provides an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4), but should be treated as encouraging preliminary evidence rather than conclusive demonstration.</w:t>
      </w:r>
    </w:p>
    <w:bookmarkEnd w:id="37"/>
    <w:bookmarkStart w:id="38" w:name="X0f624c8f270304b19d1653a84502a0bf499bddb"/>
    <w:p>
      <w:pPr>
        <w:pStyle w:val="Heading3"/>
      </w:pPr>
      <w:r>
        <w:rPr>
          <w:color w:val="000000"/>
        </w:rP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 (per-scenario results: Supplementary Table S15):</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rPr>
          <w:color w:val="000000"/>
        </w:rP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 per-seed data: Supplementary Table S10):</w:t>
      </w:r>
    </w:p>
    <w:p>
      <w:pPr>
        <w:pStyle w:val="BodyText"/>
      </w:pPr>
      <w:r>
        <w:rPr>
          <w:b/>
          <w:bCs/>
        </w:rPr>
        <w:t xml:space="preserve">Table 7.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 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 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rPr>
          <w:color w:val="000000"/>
        </w:rP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5),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rPr>
          <w:color w:val="000000"/>
        </w:rPr>
        <w:t xml:space="preserve">Spaced k-mer gap scales with tree size</w:t>
      </w:r>
    </w:p>
    <w:p>
      <w:pPr>
        <w:pStyle w:val="FirstParagraph"/>
      </w:pPr>
      <w:r>
        <w:t xml:space="preserve">Systematic parameter scanning (k=3–8, gap=0–4, n=20–1000) revealed a robust relationship between optimal gap and dataset size (Table 8, Figure 4, Supplementary Figure S1, Supplementary Figure S2). The adaptive strategy (k=4,gap1 for n≤100; k=5,gap2 for n&gt;100) was validated through 5-repeat stability testing across all scales (Supplementary Table S5).</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rPr>
          <w:color w:val="000000"/>
        </w:rP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9).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(Figure 6, Supplementary Figure S5). This result delineates an applicability boundary of the method rather than contradicting the indel-robustness findings on simulated data: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9.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bookmarkEnd w:id="42"/>
    <w:bookmarkStart w:id="43" w:name="X6b7eca8d2c8b35fbd4d022cffa99661361806bd"/>
    <w:p>
      <w:pPr>
        <w:pStyle w:val="Heading3"/>
      </w:pPr>
      <w:r>
        <w:rPr>
          <w:color w:val="000000"/>
        </w:rP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[14]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bookmarkEnd w:id="43"/>
    <w:bookmarkStart w:id="44" w:name="X8e4a70f1044dcabc7ce89dc05020fab63793870"/>
    <w:p>
      <w:pPr>
        <w:pStyle w:val="Heading3"/>
      </w:pPr>
      <w:r>
        <w:rPr>
          <w:color w:val="000000"/>
        </w:rPr>
        <w:t xml:space="preserve">Scalability: from single genes to 10,000 taxa</w:t>
      </w:r>
    </w:p>
    <w:p>
      <w:pPr>
        <w:pStyle w:val="FirstParagraph"/>
      </w:pPr>
      <w:r>
        <w:t xml:space="preserve">Fusang completes phylogenetic inference on 10,000 taxa in 54.4 seconds (Table 11, Figure 5),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11.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rPr>
          <w:color w:val="000000"/>
        </w:rP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rPr>
          <w:color w:val="000000"/>
        </w:rPr>
        <w:t xml:space="preserve">DISCUSSION</w:t>
      </w:r>
    </w:p>
    <w:bookmarkStart w:id="47" w:name="X81586ede4893e3a7c4c3601b8419de68c7304dd"/>
    <w:p>
      <w:pPr>
        <w:pStyle w:val="Heading3"/>
      </w:pPr>
      <w:r>
        <w:rPr>
          <w:color w:val="000000"/>
        </w:rP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[29]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Cosine distance is the primary accuracy driver; spaced patterns provide domain-dependent secondary benefits.</w:t>
      </w:r>
      <w:r>
        <w:t xml:space="preserve"> </w:t>
      </w:r>
      <w:r>
        <w:t xml:space="preserve">At the tested indel rate (0.02), contiguous k=5 cosine (nRF=0.099) slightly outperforms spaced k=5,gap2 (nRF=0.112), and the multi-k ensemble matches contiguous k=5 (both nRF=0.105). Spaced patterns show their clearest benefits in specific regimes: the best protein-family configuration is spaced (k=4,gap1, nRF=0.239, Table 10), and on indel data a wider gap (gap3) improves over gap2 by 10.5% (Supplementary Table S2). The systematic evaluation of k-mer frequency vector cosine distances across patterns and sequence types is the core methodological contribution.</w:t>
      </w:r>
    </w:p>
    <w:p>
      <w:pPr>
        <w:numPr>
          <w:ilvl w:val="0"/>
          <w:numId w:val="1010"/>
        </w:numPr>
      </w:pPr>
      <w:r>
        <w:rPr>
          <w:b/>
          <w:bCs/>
        </w:rPr>
        <w:t xml:space="preserve">MinHash and k-mer cosine both degrade severely under indels; absolute error remains marginally lower for cosine distances.</w:t>
      </w:r>
      <w:r>
        <w:t xml:space="preserve"> </w:t>
      </w:r>
      <w:r>
        <w:t xml:space="preserve">On indel-rich data, Mash (MinHash Jaccard, 30 seeds) produces trees with nRF=0.762 ± 0.036, while k-mer cosine degrades to nRF=0.742 ± 0.045 (both vs TRUE tree). Relative degradation is comparable (1.93× vs 1.97× from clean baselines). The mechanistic asymmetry — MinHash sketches discard positional information entirely while frequency vectors retain distributional signal — is a plausible explanation for the small absolute gap, but the practical difference at this indel rate is minor.</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both degrade severely (0.762 vs 0.742).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rPr>
          <w:color w:val="000000"/>
        </w:rPr>
        <w:t xml:space="preserve">From Fusang v1 to Tardigrade Edition: an architectural evolution</w:t>
      </w:r>
    </w:p>
    <w:p>
      <w:pPr>
        <w:pStyle w:val="FirstParagraph"/>
      </w:pPr>
      <w:r>
        <w:t xml:space="preserve">The Fusang lineage illustrates a methodological evolution from specialized to general-purpose phylogenetic inference. Our v1 [6]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48"/>
    <w:bookmarkStart w:id="49" w:name="X4e6a5510e617632401e8c9b8c6bcae7cb874e4b"/>
    <w:p>
      <w:pPr>
        <w:pStyle w:val="Heading3"/>
      </w:pPr>
      <w:r>
        <w:rPr>
          <w:color w:val="000000"/>
        </w:rP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rPr>
          <w:color w:val="000000"/>
        </w:rP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10)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4)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L1 (nRF=0.583) and L3 (nRF=0.592) produce numerically similar nRF values on the 5 completed seeds, both remain substantially distant from the TRUE tree (~58% bipartition error). Full statistical power requires 30-seed Linux validation.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 An earlier single-seed value (nRF=1.005) reported during development appears to have been based on an incorrectly parsed tree file and is superseded by this benchmark.</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10)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the FastTree2 reference, indicating high topological similarity to the alignment-based reconstruction at scale (FT2-relative; TRUE-relative accuracy is unavailable at this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7, 27 seeds) and real protein data (Table 10,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[30], which uses k-mer statistics for genome-skim distance estimation; FFP [31], which pioneered feature frequency profiles for whole-genome comparison; and the broader spaced-word method family [13] and kmacs-class gapped-matching approaches [12]. Systematic comparison with these approaches, particularly Skmer and kmacs [12] under indel-rich conditions,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rPr>
          <w:color w:val="000000"/>
        </w:rP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Multi-k NJ produces trees with numerically similar nRF to MSA+ML on a limited preliminary comparison (n=5, p=0.24; full 30-seed Linux validation pending). Both L1 and L3 remain substantially distant from the TRUE tree (nRF≈0.58–0.59).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An earlier single-seed value (nRF=0.162) reported during development appears to have been based on an incorrectly parsed tree file.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degrade severely (nRF≈0.76, ~76% bipartition error on gene-length sequences) and should be avoided for this data type.</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rPr>
          <w:color w:val="000000"/>
        </w:rP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 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rPr>
          <w:color w:val="000000"/>
        </w:rP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https://doi.org/10.5281/zenodo.20746742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[6]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rPr>
          <w:color w:val="000000"/>
        </w:rP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rPr>
          <w:color w:val="000000"/>
        </w:rP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rPr>
          <w:color w:val="000000"/>
        </w:rP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rPr>
          <w:color w:val="000000"/>
        </w:rP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rPr>
          <w:color w:val="000000"/>
        </w:rP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59"/>
    <w:bookmarkStart w:id="60" w:name="references"/>
    <w:p>
      <w:pPr>
        <w:pStyle w:val="Heading2"/>
      </w:pPr>
      <w:r>
        <w:rPr>
          <w:color w:val="000000"/>
        </w:rPr>
        <w:t xml:space="preserve">REFERENCES</w:t>
      </w:r>
    </w:p>
    <w:p>
      <w:pPr>
        <w:numPr>
          <w:ilvl w:val="0"/>
          <w:numId w:val="1012"/>
        </w:numPr>
      </w:pPr>
      <w:r>
        <w:t xml:space="preserve">Hadfield, J., Megill, C., Bell, S.M., Huddleston, J., Potter, B.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Baker, B.J., Anantharaman, K., Brown, C.T., Probst, A.J. et al. (2016) A new view of the tree of life.</w:t>
      </w:r>
      <w:r>
        <w:t xml:space="preserve"> </w:t>
      </w:r>
      <w:r>
        <w:rPr>
          <w:i/>
          <w:iCs/>
        </w:rPr>
        <w:t xml:space="preserve">Nat. Microbiol.</w:t>
      </w:r>
      <w:r>
        <w:t xml:space="preserve">, 1, 16048. DOI: 10.1038/nmicrobiol.2016.48</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Wong, K.M., Suchard, M.A. and Huelsenbeck, J.P.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Zielezinski, A., Vinga, S., Almeida, J. and Karlowski, W.M.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Leimeister, C.-A. and Morgenstern, B. (2014) kmacs: the k-mismatch average common substring approach to alignment-free sequence comparison.</w:t>
      </w:r>
      <w:r>
        <w:t xml:space="preserve"> </w:t>
      </w:r>
      <w:r>
        <w:rPr>
          <w:i/>
          <w:iCs/>
        </w:rPr>
        <w:t xml:space="preserve">Bioinformatics</w:t>
      </w:r>
      <w:r>
        <w:t xml:space="preserve">, 30, 2000–2008. DOI: 10.1093/bioinformatics/btu331</w:t>
      </w:r>
    </w:p>
    <w:p>
      <w:pPr>
        <w:numPr>
          <w:ilvl w:val="0"/>
          <w:numId w:val="1012"/>
        </w:numPr>
      </w:pPr>
      <w:r>
        <w:t xml:space="preserve">Leimeister, C.-A., Boden, M., Horwege, S., Lindner, S. and Morgenstern, B. (2014) Fast alignment-free sequence comparison using spaced-word frequencies.</w:t>
      </w:r>
      <w:r>
        <w:t xml:space="preserve"> </w:t>
      </w:r>
      <w:r>
        <w:rPr>
          <w:i/>
          <w:iCs/>
        </w:rPr>
        <w:t xml:space="preserve">Bioinformatics</w:t>
      </w:r>
      <w:r>
        <w:t xml:space="preserve">, 30, 1991–1999. DOI: 10.1093/bioinformatics/btu177</w:t>
      </w:r>
    </w:p>
    <w:p>
      <w:pPr>
        <w:numPr>
          <w:ilvl w:val="0"/>
          <w:numId w:val="1012"/>
        </w:numPr>
      </w:pPr>
      <w:r>
        <w:t xml:space="preserve">Zielezinski, A., Girgis, H.Z., Bernard, G., Leimeister, C.-A., Tang, K. et al. (2019) Benchmarking of alignment-free sequence comparison methods.</w:t>
      </w:r>
      <w:r>
        <w:t xml:space="preserve"> </w:t>
      </w:r>
      <w:r>
        <w:rPr>
          <w:i/>
          <w:iCs/>
        </w:rPr>
        <w:t xml:space="preserve">Genome Biol.</w:t>
      </w:r>
      <w:r>
        <w:t xml:space="preserve">, 20, 144. DOI: 10.1186/s13059-019-1755-7</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Gascuel, O. (1997) BIONJ: an improved version of the NJ algorithm based on a simple model of sequence data.</w:t>
      </w:r>
      <w:r>
        <w:t xml:space="preserve"> </w:t>
      </w:r>
      <w:r>
        <w:rPr>
          <w:i/>
          <w:iCs/>
        </w:rPr>
        <w:t xml:space="preserve">Mol. Biol. Evol.</w:t>
      </w:r>
      <w:r>
        <w:t xml:space="preserve">, 14, 685–695. DOI: 10.1093/oxfordjournals.molbev.a025808</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Ondov, B.D., Treangen, T.J., Melsted, P., Mallonee, A.B., Bergman, N.H. et al. (2016) Mash: fast genome and metagenome distance estimation using MinHash.</w:t>
      </w:r>
      <w:r>
        <w:t xml:space="preserve"> </w:t>
      </w:r>
      <w:r>
        <w:rPr>
          <w:i/>
          <w:iCs/>
        </w:rPr>
        <w:t xml:space="preserve">Genome Biol.</w:t>
      </w:r>
      <w:r>
        <w:t xml:space="preserve">, 17, 132. DOI: 10.1186/s13059-016-0997-x</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Sarmashghi, S., Bohmann, K., Gilbert, M.T.P., Bafna, V. and Mirarab, S. (2019) Skmer: assembly-free and alignment-free sample identification using genome skims.</w:t>
      </w:r>
      <w:r>
        <w:t xml:space="preserve"> </w:t>
      </w:r>
      <w:r>
        <w:rPr>
          <w:i/>
          <w:iCs/>
        </w:rPr>
        <w:t xml:space="preserve">Genome Biol.</w:t>
      </w:r>
      <w:r>
        <w:t xml:space="preserve">, 20, 34. DOI: 10.1186/s13059-019-1632-4</w:t>
      </w:r>
    </w:p>
    <w:p>
      <w:pPr>
        <w:numPr>
          <w:ilvl w:val="0"/>
          <w:numId w:val="1012"/>
        </w:numPr>
      </w:pPr>
      <w:r>
        <w:t xml:space="preserve">Sims, G.E., Jun, S.R., Wu, G.A. and Kim, S.H. (2009) Alignment-free genome comparison with feature frequency profiles (FFP) and optimal resolutions.</w:t>
      </w:r>
      <w:r>
        <w:t xml:space="preserve"> </w:t>
      </w:r>
      <w:r>
        <w:rPr>
          <w:i/>
          <w:iCs/>
        </w:rPr>
        <w:t xml:space="preserve">Proc. Natl. Acad. Sci. USA</w:t>
      </w:r>
      <w:r>
        <w:t xml:space="preserve">, 106, 2677–2682. DOI: 10.1073/pnas.0813249106</w:t>
      </w:r>
    </w:p>
    <w:p>
      <w:r>
        <w:pict>
          <v:rect style="width:0;height:1.5pt" o:hralign="center" o:hrstd="t" o:hr="t"/>
        </w:pict>
      </w:r>
    </w:p>
    <w:bookmarkEnd w:id="60"/>
    <w:bookmarkStart w:id="61" w:name="figure-legends"/>
    <w:p>
      <w:pPr>
        <w:pStyle w:val="Heading2"/>
      </w:pPr>
      <w:r>
        <w:rPr>
          <w:color w:val="000000"/>
        </w:rP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9,800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2026-10-08T17:21:31Z</dcterms:created>
  <dcterms:modified xsi:type="dcterms:W3CDTF">2026-10-08T17:21:31Z</dcterms:modified>
</cp:coreProperties>
</file>

<file path=docProps/custom.xml><?xml version="1.0" encoding="utf-8"?>
<Properties xmlns="http://schemas.openxmlformats.org/officeDocument/2006/custom-properties" xmlns:vt="http://schemas.openxmlformats.org/officeDocument/2006/docPropsVTypes"/>
</file>