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t xml:space="preserve">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framework that systematically evaluates k-mer frequency vector cosine distances — across spaced and contiguous patterns — for phylogenetic inference under indel-rich conditions. On simulated indel-rich data (n=200, indel rate=0.02), Fusang matches FastTree2 accuracy against the simulated ground-truth tree (nRF=0.080±0.016 vs 0.084±0.019, 112 seeds after pre-specified outlier exclusion, paired Wilcoxon p=0.052, borderline), while MSA methods retain a significant advantage on clean data at n≥500 (p&lt;0.001). A multi-k distance ensemble further improves accuracy without manual k selection (nRF=0.105±0.021 vs 0.112±0.019, p=0.006). Under indels, both MinHash (Mash) and k-mer cosine distances degrade severely relative to their clean baselines (1.93× vs 1.97×), though cosine distances retain marginally lower absolute error (nRF=0.742 vs 0.762, 30 seeds). Cross-domain validation on 11 SwissTree protein families confirms k-mer frequency methods outperform context-matching by 1.5× (p=0.006). A random forest boundary classifier distinguishes homogeneous from structured simulated datasets (88/88 scenarios, 95% CI [0.958, 1.0]). Fusang infers trees for 10,000 taxa in under a minute on a 4-core workstation.</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have theoretical motivation for robustness at high indel rates, though the practical advantage over contiguous k-mers is modest at the tested indel rate (0.02); and (3) MinHash-based methods degrade severely under indels (1.93× relative nRF increase), while k-mer cosine distances retain marginally lower absolute error.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reduces topological error by 21.5% relative to the single-k configuration (TRUE-relative nRF=0.583±0.044 vs 0.743±0.046, 30 seeds, Wilcoxon p&lt;0.0001, d=3.55). In a preliminary 5-seed comparison, the ensemble also achieves nRF numerically comparable to MAFFT+FastTree2 (0.583 vs 0.592, p=0.24; full 30-seed Linux validation pending), with both methods remaining substantially distant from the TRUE tree (nRF≈0.58–0.59).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(TRUE-relative nRF=0.080±0.016 vs FastTree2 nRF=0.084±0.019, paired Wilcoxon p=0.052, 112 seeds, borderline). Under indels, both Mash (MinHash) and k-mer cosine distances degrade severely relative to clean baselines (1.93× vs 1.97×), with cosine distances retaining marginally lower absolute error (nRF=0.742 vs 0.762,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g denotes the number of skipped positions between consecutive sampled positions. The default configuration k=5, g=2 corresponds to the pattern 1001001001001 (5 sampled positions spanning 13 nucleotides), and k=4, g=1 corresponds to 1010101 (4 sampled positions spanning 7 nucleotides). Contiguous k-mers are the special case g=0.</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a small exploratory benchmark on simulated data (n=200, indel=0.02, 10 seeds), cosine distance achieved mean nRF=0.078 vs JSD mean nRF=0.091; this comparison informed the heuristic choice of cosine distance for the simplified pipeline and should not be interpreted as a confirmatory test.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and alignment-free competitor comparison (see Results) use NJ (BioPython) for consistency with the AFproject community standard, which requires identical tree builders across methods. All scalability benchmarks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rPr>
          <w:color w:val="000000"/>
        </w:rPr>
        <w:t xml:space="preserve">Divide-and-conquer pipeline (n &gt; 1000)</w:t>
      </w:r>
    </w:p>
    <w:p>
      <w:pPr>
        <w:pStyle w:val="FirstParagraph"/>
      </w:pPr>
      <w:r>
        <w:t xml:space="preserve">For large datasets, Fusang employs the Disk-Covering Method (DCM [3,15]):</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[16])</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rPr>
          <w:color w:val="000000"/>
        </w:rPr>
        <w:t xml:space="preserve">FastME integration</w:t>
      </w:r>
    </w:p>
    <w:p>
      <w:pPr>
        <w:pStyle w:val="FirstParagraph"/>
      </w:pPr>
      <w:r>
        <w:t xml:space="preserve">FastME v2.1.6.4 [17] is the default tree builder. FastME implements the Minimum Evolution principle with bioNJ [18]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[19]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 The 5 ground truth dataset comparisons constitute the pre-specified confirmatory family; all other reported p-values (e.g., SwissTree, alignment-free competitor, and pipeline-level comparisons) are secondary and should be interpreted as exploratory</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moderate power (~75%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[6]: deep learning-based, 4–40 taxa limit</w:t>
      </w:r>
    </w:p>
    <w:p>
      <w:pPr>
        <w:pStyle w:val="Compact"/>
        <w:numPr>
          <w:ilvl w:val="0"/>
          <w:numId w:val="1003"/>
        </w:numPr>
      </w:pPr>
      <w:r>
        <w:rPr>
          <w:b/>
          <w:bCs/>
        </w:rPr>
        <w:t xml:space="preserve">FastTree2 v2.2.0</w:t>
      </w:r>
      <w:r>
        <w:t xml:space="preserve"> </w:t>
      </w:r>
      <w:r>
        <w:t xml:space="preserve">[20]: GTR+CAT approximation, MAFFT alignment [21]</w:t>
      </w:r>
    </w:p>
    <w:p>
      <w:pPr>
        <w:pStyle w:val="Compact"/>
        <w:numPr>
          <w:ilvl w:val="0"/>
          <w:numId w:val="1003"/>
        </w:numPr>
      </w:pPr>
      <w:r>
        <w:rPr>
          <w:b/>
          <w:bCs/>
        </w:rPr>
        <w:t xml:space="preserve">RAxML-NG v1.2.0</w:t>
      </w:r>
      <w:r>
        <w:t xml:space="preserve"> </w:t>
      </w:r>
      <w:r>
        <w:t xml:space="preserve">[22]: GTR+Γ, 10 parsimony + 10 random starting trees, MAFFT alignment</w:t>
      </w:r>
    </w:p>
    <w:p>
      <w:pPr>
        <w:pStyle w:val="Compact"/>
        <w:numPr>
          <w:ilvl w:val="0"/>
          <w:numId w:val="1003"/>
        </w:numPr>
      </w:pPr>
      <w:r>
        <w:rPr>
          <w:b/>
          <w:bCs/>
        </w:rPr>
        <w:t xml:space="preserve">IQ-TREE2 v2.4.0</w:t>
      </w:r>
      <w:r>
        <w:t xml:space="preserve"> </w:t>
      </w:r>
      <w:r>
        <w:t xml:space="preserve">[23]: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 v2.3</w:t>
      </w:r>
      <w:r>
        <w:t xml:space="preserve"> </w:t>
      </w:r>
      <w:r>
        <w:t xml:space="preserve">[24]: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and protein benchmarks (see Results).</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rPr>
          <w:color w:val="000000"/>
        </w:rPr>
        <w:t xml:space="preserve">RESULTS</w:t>
      </w:r>
    </w:p>
    <w:bookmarkStart w:id="31"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(Figure 3, Supplementary Figure S3,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[16])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0.077 ± 0.018 vs FastTree2 0.080 ± 0.017, 30 seeds; 112-seed post-exclusion benchmark: p=0.052). On clean data at n≥500, MSA-based methods retain a clear and statistically significant advantage (Table 1; see Multiple Comparison Correction, Supplementary Table S8).</w:t>
      </w:r>
    </w:p>
    <w:p>
      <w:pPr>
        <w:pStyle w:val="BodyText"/>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rPr>
          <w:color w:val="000000"/>
        </w:rPr>
        <w:t xml:space="preserve">Spaced k-mers vs MinHash approaches under indels</w:t>
      </w:r>
    </w:p>
    <w:p>
      <w:pPr>
        <w:pStyle w:val="FirstParagraph"/>
      </w:pPr>
      <w:r>
        <w:t xml:space="preserve">To evaluate the robustness of k-mer cosine distances against a widely-used alignment-free alternative, we compared Fusang (spaced k=5,gap2, cosine + NJ) with Mash (contiguous k=21, MinHash Jaccard + NJ) on both clean and indel-rich data (n=200, sub=0.05, indel=0.02), each with 30 seeds, benchmarking against the TRUE simulated coalescent tree (per-seed data: Supplementary Table S14). Note that this benchmark (Table 2) uses an independent coalescent simulation protocol, distinct from the guide-tree protocol used in Table 1 and the indel-rate scan in Table 3; absolute nRF values are higher for all methods under this protocol and should not be compared across benchmarks.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4"/>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13.2% advantage at indel=0.05 (Table 3). At the biologically realistic indel rate of 0.02, Fusang approaches FastTree2 accuracy (TRUE-relative nRF: Fusang 0.080 ± 0.016 vs FastTree2 0.084 ± 0.019, 112 seeds, paired Wilcoxon p=0.052).</w:t>
      </w:r>
    </w:p>
    <w:p>
      <w:pPr>
        <w:pStyle w:val="BodyText"/>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Figure S4,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 both methods evaluated against the simulated ground-truth tree)</w:t>
      </w:r>
      <w:r>
        <w:t xml:space="preserve">: Fusang nRF=0.080 ± 0.016 vs FastTree2 nRF=0.084 ± 0.019; Cohen’s d=−0.20 [95% CI: −0.42, 0.02]; Fusang lower nRF in 60/112 seeds (53.6%)</w:t>
      </w:r>
    </w:p>
    <w:p>
      <w:pPr>
        <w:pStyle w:val="FirstParagraph"/>
      </w:pPr>
      <w:r>
        <w:t xml:space="preserve">The 112-seed results show a consistent directional advantage with a small-to-medium effect size (Wilcoxon p=0.052, borderline at α=0.05).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 (see Supplementary Figure S6 for effect size analyses across benchmarks).</w:t>
      </w:r>
    </w:p>
    <w:p>
      <w:pPr>
        <w:pStyle w:val="BodyText"/>
      </w:pPr>
      <w:r>
        <w:t xml:space="preserve">The per-seed nRF distributions reveal that Fusang’s standard deviation (σ=0.016) is comparable to FastTree2’s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4. Multi-k ensemble vs single-k configuration (n=200, indel rate=0.02, 30 seeds). All nRF values are FT2-relative (vs the FastTree2 reference tree), consistent with Table 7.</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(Table 5):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5. Pipeline-level validation against TRUE tree (n=200, indel=0.02, 30 seeds). All nRF values are TRUE-relative (vs simulated coalescent ground truth). Note: this benchmark uses a coalescent simulation protocol, independent of the guide-tree protocol used in Tables 1 and 3;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initial evidence warranting larger-scale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4), but should be treated as encouraging preliminary evidence rather than conclusive demonstration.</w:t>
      </w:r>
    </w:p>
    <w:bookmarkEnd w:id="37"/>
    <w:bookmarkStart w:id="38"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 (Table 6; per-scenario results: Supplementary Table S15):</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rPr>
          <w:color w:val="000000"/>
        </w:rPr>
        <w:t xml:space="preserve">Comparison with existing alignment-free methods</w:t>
      </w:r>
    </w:p>
    <w:p>
      <w:pPr>
        <w:pStyle w:val="FirstParagraph"/>
      </w:pPr>
      <w:r>
        <w:t xml:space="preserve">We compared Fusang against two established alignment-free phylogenetic methods on simulated indel-rich data (n=200, sub=0.05, indel=0.02, 27 seeds, seed set 100–126; Table 7; per-seed data: Supplementary Table S10):</w:t>
      </w:r>
    </w:p>
    <w:p>
      <w:pPr>
        <w:pStyle w:val="BodyText"/>
      </w:pPr>
      <w:r>
        <w:rPr>
          <w:b/>
          <w:bCs/>
        </w:rPr>
        <w:t xml:space="preserve">Table 7.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5),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values from the 30-seed benchmark; the independent 112-seed benchmark yields p=0.052)</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k=5,gap2). Tree-based pairwise distances were compared against NCBI taxonomic classifications (Table 9).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given the small number of assessable groups, we treat this recovery-rate comparison as descriptive. The RF distance between Fusang and NCBI taxonomy was nRF=0.68, compared to nRF=0.45 for FastTree2 vs NCBI. While Fusang’s recovery rate compares favorably to random expectation,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bookmarkEnd w:id="42"/>
    <w:bookmarkStart w:id="43"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[14] — the community standard for alignment-free gene tree inference. This benchmark comprises 11 protein gene families (29–159 taxa, 109–576 amino acids per sequence) with trusted reference trees from the SwissTree database (Table 10; per-family data: Supplementary Tables S11–S12).</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bookmarkEnd w:id="43"/>
    <w:bookmarkStart w:id="44"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11, Figure 5),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rPr>
          <w:color w:val="000000"/>
        </w:rPr>
        <w:t xml:space="preserve">DISCUSSION</w:t>
      </w:r>
    </w:p>
    <w:bookmarkStart w:id="47"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[29]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Cosine distance is the primary accuracy driver; spaced patterns provide domain-dependent secondary benefits.</w:t>
      </w:r>
      <w:r>
        <w:t xml:space="preserve"> </w:t>
      </w:r>
      <w:r>
        <w:t xml:space="preserve">At the tested indel rate (0.02), contiguous k=5 cosine (nRF=0.099) slightly outperforms spaced k=5,gap2 (nRF=0.112), and the multi-k ensemble matches contiguous k=5 (both nRF=0.105). Spaced patterns show their clearest benefits in specific regimes: the best protein-family configuration is spaced (k=4,gap1, nRF=0.239, Table 10), and on indel data a wider gap (gap3) improves over gap2 by 10.5% (Supplementary Table S2). The systematic evaluation of k-mer frequency vector cosine distances across patterns and sequence types is the core methodological contribution.</w:t>
      </w:r>
    </w:p>
    <w:p>
      <w:pPr>
        <w:numPr>
          <w:ilvl w:val="0"/>
          <w:numId w:val="1010"/>
        </w:numPr>
      </w:pPr>
      <w:r>
        <w:rPr>
          <w:b/>
          <w:bCs/>
        </w:rPr>
        <w:t xml:space="preserve">MinHash and k-mer cosine both degrade severely under indels; absolute error remains marginally lower for cosine distances.</w:t>
      </w:r>
      <w:r>
        <w:t xml:space="preserve"> </w:t>
      </w:r>
      <w:r>
        <w:t xml:space="preserve">On indel-rich data, Mash (MinHash Jaccard, 30 seeds) produces trees with nRF=0.762 ± 0.036, while k-mer cosine degrades to nRF=0.742 ± 0.045 (both vs TRUE tree). Relative degradation is comparable (1.93× vs 1.97× from clean baselines). The mechanistic asymmetry — MinHash sketches discard positional information entirely while frequency vectors retain distributional signal — is a plausible explanation for the small absolute gap, but the practical difference at this indel rate is minor.</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both degrade severely (0.762 vs 0.742).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 We note that the n=1000 threshold was derived from the DCM degradation analysis at n=200 and from scalability timings; a direct accuracy comparison between the simplified and DCM pipelines in the n=500–1000 transition zone has not been performed.</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 Supplementary Table S7).</w:t>
      </w:r>
    </w:p>
    <w:p>
      <w:pPr>
        <w:pStyle w:val="BodyText"/>
      </w:pPr>
      <w:r>
        <w:rPr>
          <w:b/>
          <w:bCs/>
        </w:rPr>
        <w:t xml:space="preserve">Fixed k and gap</w:t>
      </w:r>
      <w:r>
        <w:t xml:space="preserve">: The current implementation uses a static k and gap for the entire dataset. The multi-k distance ensemble (Table 4)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10)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the FastTree2 reference, indicating high topological similarity to the alignment-based reconstruction at scale (FT2-relative; TRUE-relative accuracy is unavailable at this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7, 27 seeds) and real protein data (Table 10,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[30], which uses k-mer statistics for genome-skim distance estimation; FFP [31], which pioneered feature frequency profiles for whole-genome comparison; and the broader spaced-word method family [13] and kmacs-class gapped-matching approaches [12]. Systematic comparison with these approaches, particularly Skmer and kmacs [12] under indel-rich conditions,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degrade severely (nRF≈0.76, ~76% bipartition error on gene-length sequences) and should be avoided for this data type.</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 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https://doi.org/10.5281/zenodo.20746742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[6]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59"/>
    <w:bookmarkStart w:id="60" w:name="references"/>
    <w:p>
      <w:pPr>
        <w:pStyle w:val="Heading2"/>
      </w:pPr>
      <w:r>
        <w:rPr>
          <w:color w:val="000000"/>
        </w:rPr>
        <w:t xml:space="preserve">REFERENCES</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Wong, K.M., Suchard, M.A. and Huelsenbeck, J.P.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Zielezinski, A., Vinga, S., Almeida, J. and Karlowski, W.M.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Leimeister, C.-A. and Morgenstern, B. (2014) kmacs: the k-mismatch average common substring approach to alignment-free sequence comparison.</w:t>
      </w:r>
      <w:r>
        <w:t xml:space="preserve"> </w:t>
      </w:r>
      <w:r>
        <w:rPr>
          <w:i/>
          <w:iCs/>
        </w:rPr>
        <w:t xml:space="preserve">Bioinformatics</w:t>
      </w:r>
      <w:r>
        <w:t xml:space="preserve">, 30, 2000–2008. DOI: 10.1093/bioinformatics/btu331</w:t>
      </w:r>
    </w:p>
    <w:p>
      <w:pPr>
        <w:numPr>
          <w:ilvl w:val="0"/>
          <w:numId w:val="1012"/>
        </w:numPr>
      </w:pPr>
      <w:r>
        <w:t xml:space="preserve">Leimeister, C.-A., Boden, M., Horwege, S., Lindner, S. and Morgenstern, B. (2014) Fast alignment-free sequence comparison using spaced-word frequencies.</w:t>
      </w:r>
      <w:r>
        <w:t xml:space="preserve"> </w:t>
      </w:r>
      <w:r>
        <w:rPr>
          <w:i/>
          <w:iCs/>
        </w:rPr>
        <w:t xml:space="preserve">Bioinformatics</w:t>
      </w:r>
      <w:r>
        <w:t xml:space="preserve">, 30, 1991–1999. DOI: 10.1093/bioinformatics/btu177</w:t>
      </w:r>
    </w:p>
    <w:p>
      <w:pPr>
        <w:numPr>
          <w:ilvl w:val="0"/>
          <w:numId w:val="1012"/>
        </w:numPr>
      </w:pPr>
      <w:r>
        <w:t xml:space="preserve">Zielezinski, A. et al. (2019) Benchmarking of alignment-free sequence comparison methods.</w:t>
      </w:r>
      <w:r>
        <w:t xml:space="preserve"> </w:t>
      </w:r>
      <w:r>
        <w:rPr>
          <w:i/>
          <w:iCs/>
        </w:rPr>
        <w:t xml:space="preserve">Genome Biol.</w:t>
      </w:r>
      <w:r>
        <w:t xml:space="preserve">, 20, 144. DOI: 10.1186/s13059-019-1755-7</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Gascuel, O. (1997) BIONJ: an improved version of the NJ algorithm based on a simple model of sequence data.</w:t>
      </w:r>
      <w:r>
        <w:t xml:space="preserve"> </w:t>
      </w:r>
      <w:r>
        <w:rPr>
          <w:i/>
          <w:iCs/>
        </w:rPr>
        <w:t xml:space="preserve">Mol. Biol. Evol.</w:t>
      </w:r>
      <w:r>
        <w:t xml:space="preserve">, 14, 685–695. DOI: 10.1093/oxfordjournals.molbev.a025808</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Ondov, B.D. et al. (2016) Mash: fast genome and metagenome distance estimation using MinHash.</w:t>
      </w:r>
      <w:r>
        <w:t xml:space="preserve"> </w:t>
      </w:r>
      <w:r>
        <w:rPr>
          <w:i/>
          <w:iCs/>
        </w:rPr>
        <w:t xml:space="preserve">Genome Biol.</w:t>
      </w:r>
      <w:r>
        <w:t xml:space="preserve">, 17, 132. DOI: 10.1186/s13059-016-0997-x</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Sarmashghi, S., Bohmann, K., Gilbert, M.T.P., Bafna, V. and Mirarab, S. (2019) Skmer: assembly-free and alignment-free sample identification using genome skims.</w:t>
      </w:r>
      <w:r>
        <w:t xml:space="preserve"> </w:t>
      </w:r>
      <w:r>
        <w:rPr>
          <w:i/>
          <w:iCs/>
        </w:rPr>
        <w:t xml:space="preserve">Genome Biol.</w:t>
      </w:r>
      <w:r>
        <w:t xml:space="preserve">, 20, 34. DOI: 10.1186/s13059-019-1632-4</w:t>
      </w:r>
    </w:p>
    <w:p>
      <w:pPr>
        <w:numPr>
          <w:ilvl w:val="0"/>
          <w:numId w:val="1012"/>
        </w:numPr>
      </w:pPr>
      <w:r>
        <w:t xml:space="preserve">Sims, G.E., Jun, S.R., Wu, G.A. and Kim, S.H. (2009) Alignment-free genome comparison with feature frequency profiles (FFP) and optimal resolutions.</w:t>
      </w:r>
      <w:r>
        <w:t xml:space="preserve"> </w:t>
      </w:r>
      <w:r>
        <w:rPr>
          <w:i/>
          <w:iCs/>
        </w:rPr>
        <w:t xml:space="preserve">Proc. Natl. Acad. Sci. USA</w:t>
      </w:r>
      <w:r>
        <w:t xml:space="preserve">, 106, 2677–2682. DOI: 10.1073/pnas.0813249106</w:t>
      </w:r>
    </w:p>
    <w:p>
      <w:r>
        <w:pict>
          <v:rect style="width:0;height:1.5pt" o:hralign="center" o:hrstd="t" o:hr="t"/>
        </w:pict>
      </w:r>
    </w:p>
    <w:bookmarkEnd w:id="60"/>
    <w:bookmarkStart w:id="61"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13.2%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9,800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2026-10-08T17:47:17Z</dcterms:created>
  <dcterms:modified xsi:type="dcterms:W3CDTF">2026-10-08T17:47:17Z</dcterms:modified>
</cp:coreProperties>
</file>

<file path=docProps/custom.xml><?xml version="1.0" encoding="utf-8"?>
<Properties xmlns="http://schemas.openxmlformats.org/officeDocument/2006/custom-properties" xmlns:vt="http://schemas.openxmlformats.org/officeDocument/2006/docPropsVTypes"/>
</file>