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7047cb51a3183cfc4341966476115c4e62e2175"/>
    <w:p>
      <w:pPr>
        <w:pStyle w:val="Heading1"/>
      </w:pPr>
      <w:r>
        <w:rPr>
          <w:color w:val="000000"/>
        </w:rP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Lei Kong¹ and Li Zhang²·³·⁴,*</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Chengdu, China</w:t>
      </w:r>
    </w:p>
    <w:p>
      <w:pPr>
        <w:pStyle w:val="BodyText"/>
      </w:pPr>
      <w:r>
        <w:t xml:space="preserve">³ Chinese Institute for Brain Research, Beijing, China</w:t>
      </w:r>
    </w:p>
    <w:p>
      <w:pPr>
        <w:pStyle w:val="BodyText"/>
      </w:pPr>
      <w:r>
        <w:t xml:space="preserve">⁴ Translational Medical Center, Weifang Second People’s Hospital, 7 Yuanxiao St., Weifang, 261041, Shandong Province,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rPr>
          <w:color w:val="000000"/>
        </w:rPr>
        <w:t xml:space="preserve">ABSTRACT</w:t>
      </w:r>
    </w:p>
    <w:p>
      <w:pPr>
        <w:pStyle w:val="FirstParagraph"/>
      </w:pPr>
      <w:r>
        <w:t xml:space="preserve">Multiple sequence alignment (MSA) scales poorly with dataset size and introduces systematic errors under insertions and deletions (indels), yet alignment-free methods have historically underperformed MSA-based maximum likelihood (ML) approaches. We present Fusang: Tardigrade Edition, an alignment-free framework that systematically evaluates k-mer frequency vector cosine distances — across spaced and contiguous patterns — for phylogenetic inference under indel-rich conditions. On simulated indel-rich data (n=200, indel rate=0.02), Fusang matches FastTree2 against the simulated ground-truth tree (nRF=0.080±0.016 vs 0.084±0.019, 112 seeds, Wilcoxon p=0.052), while MSA methods retain a significant advantage on clean data at n≥500 (p&lt;0.001). A multi-k distance ensemble removes manual k selection, reducing topological error under indel-rich coalescent simulation (nRF=0.583±0.044 vs 0.743±0.046 single-k, 30 seeds, p&lt;0.0001) and outperforming MAFFT+FastTree2 on the same benchmark (p=0.024; borderline after Bonferroni correction, p_adj=0.071). On a real indel-rich mitochondrial benchmark (25 genomes, 9.1% gaps), the ensemble reaches the community-benchmark ceiling — nRF=0.045, matched by MSA+ML and all best published alignment-free methods on this single small dataset. Under indels, MinHash (Mash) and k-mer cosine distances degrade comparably (1.93× vs 1.97×). Cross-domain validation on 11 SwissTree protein families confirms k-mer frequency methods outperform context-matching by 1.5× (p=0.006). A random forest boundary classifier separates homogeneous from structured datasets (88/88 simulated scenarios). Fusang infers trees for 10,000 taxa in under a minute on a 4-core workstation.</w:t>
      </w:r>
    </w:p>
    <w:p>
      <w:r>
        <w:pict>
          <v:rect style="width:0;height:1.5pt" o:hralign="center" o:hrstd="t" o:hr="t"/>
        </w:pict>
      </w:r>
    </w:p>
    <w:bookmarkEnd w:id="9"/>
    <w:bookmarkStart w:id="13" w:name="introduction"/>
    <w:p>
      <w:pPr>
        <w:pStyle w:val="Heading2"/>
      </w:pPr>
      <w:r>
        <w:rPr>
          <w:color w:val="000000"/>
        </w:rPr>
        <w:t xml:space="preserve">INTRODUCTION</w:t>
      </w:r>
    </w:p>
    <w:p>
      <w:pPr>
        <w:pStyle w:val="FirstParagraph"/>
      </w:pPr>
      <w:r>
        <w:t xml:space="preserve">Phylogenetic inference is foundational to evolutionary biology, from tracing viral outbreaks [1] to reconstructing the tree of life [2].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[3,4,5].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rPr>
          <w:color w:val="000000"/>
        </w:rPr>
        <w:t xml:space="preserve">The Fusang lineage: from deep learning to k-mer features</w:t>
      </w:r>
    </w:p>
    <w:p>
      <w:pPr>
        <w:pStyle w:val="FirstParagraph"/>
      </w:pPr>
      <w:r>
        <w:t xml:space="preserve">We previously introduced Fusang v1 [6],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rPr>
          <w:color w:val="000000"/>
        </w:rPr>
        <w:t xml:space="preserve">K-mer frequency vectors in phylogenetics: status and opportunities</w:t>
      </w:r>
    </w:p>
    <w:p>
      <w:pPr>
        <w:pStyle w:val="FirstParagraph"/>
      </w:pPr>
      <w:r>
        <w:t xml:space="preserve">K-mer frequency vectors have been applied to multiple sequence analysis tasks including protein classification [7], metagenomic binning [8], and genome assembly. In phylogenetic inference, prior alignment-free work (reviewed in [9,10]) includes hierarchical phylogenomic inference [11], kmacs [12] (gapped k-mismatch substring matching), spaced-word frequency methods [13], and the Alfpy toolkit with the AFproject benchmark [14], which provides standardized implementations of multiple alignment-free methods including gapped k-mer variants. Despite these foundations,</w:t>
      </w:r>
      <w:r>
        <w:t xml:space="preserve"> </w:t>
      </w:r>
      <w:r>
        <w:rPr>
          <w:b/>
          <w:bCs/>
        </w:rPr>
        <w:t xml:space="preserve">k-mer frequency vectors (spaced and contiguous)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k-mer frequency vector cosine distances</w:t>
      </w:r>
      <w:r>
        <w:t xml:space="preserve"> </w:t>
      </w:r>
      <w:r>
        <w:t xml:space="preserve">— comparing both spaced and contiguous k-mer patterns across multiple distance metrics — for phylogenetic inference under indel-rich conditions. We find that: (1) k-mer frequency vectors with cosine distance provide effective phylogenetic signal under indels; (2) spaced k-mers are hypothesized to be more robust at high indel rates, though the practical advantage over contiguous k-mers is modest at the tested indel rate (0.02); and (3) MinHash-based methods degrade severely under indels (1.93× relative nRF increase), while k-mer cosine distances retain marginally lower absolute error.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rPr>
          <w:color w:val="000000"/>
        </w:rP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reduces topological error by 21.5% relative to the single-k configuration (TRUE-relative nRF=0.583±0.044 vs 0.743±0.046, 30 seeds, Wilcoxon p&lt;0.0001, paired d=3.82). On the full 30-seed coalescent benchmark (Linux), the ensemble outperforms MAFFT+FastTree2 (nRF=0.583±0.044 vs 0.601±0.055, paired Wilcoxon p=0.024, paired d=−0.45, ensemble wins 19/30; a secondary comparison — see Results for multiple-comparison context), with both methods remaining substantially distant from the true tree (nRF≈0.58–0.60).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(TRUE-relative nRF=0.080±0.016 vs FastTree2 nRF=0.084±0.019, paired Wilcoxon p=0.052, 112 seeds, borderline). Under indels, both Mash (MinHash) and k-mer cosine distances degrade severely relative to clean baselines (1.93× vs 1.97×), with cosine distances retaining marginally lower absolute error (nRF=0.742 vs 0.762,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1" w:name="materials-and-methods"/>
    <w:p>
      <w:pPr>
        <w:pStyle w:val="Heading2"/>
      </w:pPr>
      <w:r>
        <w:rPr>
          <w:color w:val="000000"/>
        </w:rPr>
        <w:t xml:space="preserve">MATERIALS AND METHODS</w:t>
      </w:r>
    </w:p>
    <w:bookmarkStart w:id="14" w:name="spaced-k-mer-feature-extraction"/>
    <w:p>
      <w:pPr>
        <w:pStyle w:val="Heading3"/>
      </w:pPr>
      <w:r>
        <w:rPr>
          <w:color w:val="000000"/>
        </w:rP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g denotes the number of skipped positions between consecutive sampled positions. The default configuration k=5, g=2 corresponds to the pattern 1001001001001 (5 sampled positions spanning 13 nucleotides), and k=4, g=1 corresponds to 1010101 (4 sampled positions spanning 7 nucleotides). Contiguous k-mers are the special case g=0.</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rPr>
          <w:color w:val="000000"/>
        </w:rP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a small exploratory benchmark on simulated data (n=200, indel=0.02, 10 seeds), cosine distance achieved mean nRF=0.078 vs JSD mean nRF=0.091; this comparison informed the heuristic choice of cosine distance for the simplified pipeline and should not be interpreted as a confirmatory test.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achieve lower absolute nRF than MinHash Jaccard under indels (see Results).</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rPr>
          <w:color w:val="000000"/>
        </w:rP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rPr>
          <w:color w:val="000000"/>
        </w:rP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and alignment-free competitor comparison (see Results) use NJ (BioPython) for consistency with the AFproject community standard, which requires identical tree builders across methods. All scalability benchmarks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rPr>
          <w:color w:val="000000"/>
        </w:rPr>
        <w:t xml:space="preserve">Divide-and-conquer pipeline (n &gt; 1000)</w:t>
      </w:r>
    </w:p>
    <w:p>
      <w:pPr>
        <w:pStyle w:val="FirstParagraph"/>
      </w:pPr>
      <w:r>
        <w:t xml:space="preserve">For large datasets, Fusang employs the Disk-Covering Method (DCM [3,15]):</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[16])</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rPr>
          <w:color w:val="000000"/>
        </w:rPr>
        <w:t xml:space="preserve">FastME integration</w:t>
      </w:r>
    </w:p>
    <w:p>
      <w:pPr>
        <w:pStyle w:val="FirstParagraph"/>
      </w:pPr>
      <w:r>
        <w:t xml:space="preserve">FastME v2.1.6.4 [17] is the default tree builder. FastME implements the Minimum Evolution principle with bioNJ [18]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rPr>
          <w:color w:val="000000"/>
        </w:rP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rPr>
          <w:color w:val="000000"/>
        </w:rPr>
        <w:t xml:space="preserve">Benchmark design</w:t>
      </w:r>
    </w:p>
    <w:bookmarkStart w:id="21" w:name="simulated-data-without-indels"/>
    <w:p>
      <w:pPr>
        <w:pStyle w:val="Heading4"/>
      </w:pPr>
      <w:r>
        <w:rPr>
          <w:color w:val="000000"/>
        </w:rPr>
        <w:t xml:space="preserve">Simulated data (without indels)</w:t>
      </w:r>
    </w:p>
    <w:p>
      <w:pPr>
        <w:pStyle w:val="FirstParagraph"/>
      </w:pPr>
      <w:r>
        <w:t xml:space="preserve">Sequence alignments were generated using INDELible [19]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rPr>
          <w:color w:val="000000"/>
        </w:rP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rPr>
          <w:color w:val="000000"/>
        </w:rP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 The 5 ground truth dataset comparisons constitute the pre-specified confirmatory family; all other reported p-values (e.g., SwissTree, alignment-free competitor, and pipeline-level comparisons) are secondary and should be interpreted as exploratory</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moderate power (~75%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rPr>
          <w:color w:val="000000"/>
        </w:rP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rPr>
          <w:color w:val="000000"/>
        </w:rP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[6]: deep learning-based, 4–40 taxa limit</w:t>
      </w:r>
    </w:p>
    <w:p>
      <w:pPr>
        <w:pStyle w:val="Compact"/>
        <w:numPr>
          <w:ilvl w:val="0"/>
          <w:numId w:val="1003"/>
        </w:numPr>
      </w:pPr>
      <w:r>
        <w:rPr>
          <w:b/>
          <w:bCs/>
        </w:rPr>
        <w:t xml:space="preserve">FastTree2 v2.2.0</w:t>
      </w:r>
      <w:r>
        <w:t xml:space="preserve"> </w:t>
      </w:r>
      <w:r>
        <w:t xml:space="preserve">[20]: GTR+CAT approximation, MAFFT alignment [21]</w:t>
      </w:r>
    </w:p>
    <w:p>
      <w:pPr>
        <w:pStyle w:val="Compact"/>
        <w:numPr>
          <w:ilvl w:val="0"/>
          <w:numId w:val="1003"/>
        </w:numPr>
      </w:pPr>
      <w:r>
        <w:rPr>
          <w:b/>
          <w:bCs/>
        </w:rPr>
        <w:t xml:space="preserve">RAxML-NG v1.2.0</w:t>
      </w:r>
      <w:r>
        <w:t xml:space="preserve"> </w:t>
      </w:r>
      <w:r>
        <w:t xml:space="preserve">[22]: GTR+Γ, 10 parsimony + 10 random starting trees, MAFFT alignment</w:t>
      </w:r>
    </w:p>
    <w:p>
      <w:pPr>
        <w:pStyle w:val="Compact"/>
        <w:numPr>
          <w:ilvl w:val="0"/>
          <w:numId w:val="1003"/>
        </w:numPr>
      </w:pPr>
      <w:r>
        <w:rPr>
          <w:b/>
          <w:bCs/>
        </w:rPr>
        <w:t xml:space="preserve">IQ-TREE2 v2.4.0</w:t>
      </w:r>
      <w:r>
        <w:t xml:space="preserve"> </w:t>
      </w:r>
      <w:r>
        <w:t xml:space="preserve">[23]: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 v2.3</w:t>
      </w:r>
      <w:r>
        <w:t xml:space="preserve"> </w:t>
      </w:r>
      <w:r>
        <w:t xml:space="preserve">[24]: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and protein benchmarks (see Results).</w:t>
      </w:r>
    </w:p>
    <w:p>
      <w:pPr>
        <w:pStyle w:val="Compact"/>
        <w:numPr>
          <w:ilvl w:val="0"/>
          <w:numId w:val="1003"/>
        </w:numPr>
      </w:pPr>
      <w:r>
        <w:rPr>
          <w:b/>
          <w:bCs/>
        </w:rPr>
        <w:t xml:space="preserve">kmacs</w:t>
      </w:r>
      <w:r>
        <w:t xml:space="preserve"> </w:t>
      </w:r>
      <w:r>
        <w:t xml:space="preserve">[12]: k-mismatch average common substring distance. Tested on the DNA indel benchmark (27 seeds) with a k-parameter scan (k∈{3,5,10}; best configuration k=3, see Results). Compiled from the original source distribution and executed on WSL2 Ubuntu-24.04.</w:t>
      </w:r>
    </w:p>
    <w:bookmarkEnd w:id="25"/>
    <w:bookmarkStart w:id="26" w:name="hardware"/>
    <w:p>
      <w:pPr>
        <w:pStyle w:val="Heading4"/>
      </w:pPr>
      <w:r>
        <w:rPr>
          <w:color w:val="000000"/>
        </w:rP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rPr>
          <w:color w:val="000000"/>
        </w:rP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aba471e3ed2ba5387773382b0559b7883665b53"/>
    <w:p>
      <w:pPr>
        <w:pStyle w:val="Heading3"/>
      </w:pPr>
      <w:r>
        <w:rPr>
          <w:color w:val="000000"/>
        </w:rPr>
        <w:t xml:space="preserve">Real genome-scale validation: AFproject community datasets</w:t>
      </w:r>
    </w:p>
    <w:p>
      <w:pPr>
        <w:pStyle w:val="FirstParagraph"/>
      </w:pPr>
      <w:r>
        <w:t xml:space="preserve">To test the indel-robustness claims on real data beyond simulations, we benchmarked on two real whole-genome datasets from the AFproject community benchmark [14], each with a published trusted reference tree: (1) Fish mtDNA — 25 fish mitochondrial genomes (~17 kb each, spanning multiple orders; reference tree from Fischer et al. 2013); (2) E. coli/Shigella — 27 genomes (~4.5–5.5 Mb; reference tree from Skippington &amp; Ragan 2011). Sequences were downloaded from NCBI (accessions in Supplementary Table S16). For the fish dataset we additionally computed the MAFFT alignment (n=25, 18,284 columns) to quantify indel content: 9.1% of alignment cells are gaps. For the SwissTree protein benchmark we quantified gap content analogously: median 50% (range 11–81%) across the 11 families, confirming that this benchmark is strongly indel-rich. All methods built trees via Neighbor-Joining (BioPython) on unaligned input, scored with ETE3 Tree.compare (unrooted nRF, the AFproject scoring standard); kmacs and Mash were run at both our working configurations and the exact configurations published in the AFproject benchmark, providing an external cross-validation of the benchmark harness (data, NJ, and ETE3 scoring) rather than of Fusang itself. Whole-genome MSA was not computed for the 27-genome E. coli/Shigella dataset (alignment of 27 × 4.6 Mb is impractical — precisely the regime where alignment-free methods are necessary); for the fish dataset, MAFFT+FastTree2 served as the MSA+ML comparator. We note that the ETE3 nRF used here (informative splits only, max_rf = 2(n−3)) is not numerically comparable with the internal nRF implementation used in Tables 1–11 (which counts trivial splits in the shared set).</w:t>
      </w:r>
    </w:p>
    <w:bookmarkEnd w:id="29"/>
    <w:bookmarkStart w:id="30" w:name="X589f69d94df132eeb6a5ff662991c9cf46e5a86"/>
    <w:p>
      <w:pPr>
        <w:pStyle w:val="Heading3"/>
      </w:pPr>
      <w:r>
        <w:rPr>
          <w:color w:val="000000"/>
        </w:rP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30"/>
    <w:bookmarkEnd w:id="31"/>
    <w:bookmarkStart w:id="48" w:name="results"/>
    <w:p>
      <w:pPr>
        <w:pStyle w:val="Heading2"/>
      </w:pPr>
      <w:r>
        <w:rPr>
          <w:color w:val="000000"/>
        </w:rPr>
        <w:t xml:space="preserve">RESULTS</w:t>
      </w:r>
    </w:p>
    <w:bookmarkStart w:id="32" w:name="Xacca3c38c4078ee080ec286d7bfaf1635eeb5c7"/>
    <w:p>
      <w:pPr>
        <w:pStyle w:val="Heading3"/>
      </w:pPr>
      <w:r>
        <w:rPr>
          <w:color w:val="000000"/>
        </w:rP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(Figure 3, Supplementary Figure S3,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[16])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2"/>
    <w:bookmarkStart w:id="33" w:name="X5037a8e489627e52295b804b73126fe2179974f"/>
    <w:p>
      <w:pPr>
        <w:pStyle w:val="Heading3"/>
      </w:pPr>
      <w:r>
        <w:rPr>
          <w:color w:val="000000"/>
        </w:rP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0.077 ± 0.018 vs FastTree2 0.080 ± 0.017, 30 seeds; 112-seed post-exclusion benchmark: p=0.052). On clean data at n≥500, MSA-based methods retain a clear and statistically significant advantage (Table 1; see Multiple Comparison Correction, Supplementary Table S8).</w:t>
      </w:r>
    </w:p>
    <w:p>
      <w:pPr>
        <w:pStyle w:val="BodyText"/>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accuracy comparable to the best single-k configuration without manual k selection (its improvement over the default spaced configuration is seed-set-dependent; see the Multi-k section). On clean data at n≥500, MSA-based methods retain a clear advantage (p&lt;0.001 after correction), indicating that full positional information from alignment benefits ML inference when indels are absent.</w:t>
      </w:r>
    </w:p>
    <w:bookmarkEnd w:id="33"/>
    <w:bookmarkStart w:id="34" w:name="X60b8a4e1e7bde00f7f2e54ce9bc1c82b7e983ae"/>
    <w:p>
      <w:pPr>
        <w:pStyle w:val="Heading3"/>
      </w:pPr>
      <w:r>
        <w:rPr>
          <w:color w:val="000000"/>
        </w:rPr>
        <w:t xml:space="preserve">Spaced k-mers vs MinHash approaches under indels</w:t>
      </w:r>
    </w:p>
    <w:p>
      <w:pPr>
        <w:pStyle w:val="FirstParagraph"/>
      </w:pPr>
      <w:r>
        <w:t xml:space="preserve">To evaluate the robustness of k-mer cosine distances against a widely-used alignment-free alternative, we compared Fusang (spaced k=5,gap2, cosine + NJ) with Mash (contiguous k=21, MinHash Jaccard + NJ) on both clean and indel-rich data (n=200, sub=0.05, indel=0.02), each with 30 seeds, benchmarking against the true simulated coalescent tree (per-seed data: Supplementary Table S14). Note that this benchmark (Table 2) uses an independent coalescent simulation protocol, distinct from the guide-tree protocol used in Table 1 and the indel-rate scan in Table 3; absolute nRF values are higher for all methods under this protocol and should not be compared across benchmarks.</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4"/>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4"/>
    <w:bookmarkStart w:id="35" w:name="Xf44affd993b645451e177f15833a7ed3579bc2f"/>
    <w:p>
      <w:pPr>
        <w:pStyle w:val="Heading3"/>
      </w:pPr>
      <w:r>
        <w:rPr>
          <w:color w:val="000000"/>
        </w:rP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13.2% advantage at indel=0.05 (Table 3). At the biologically realistic indel rate of 0.02, Fusang approaches FastTree2 accuracy (TRUE-relative nRF: Fusang 0.080 ± 0.016 vs FastTree2 0.084 ± 0.019, 112 seeds, paired Wilcoxon p=0.052).</w:t>
      </w:r>
    </w:p>
    <w:p>
      <w:pPr>
        <w:pStyle w:val="BodyText"/>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(+4.5–4.8%).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bookmarkEnd w:id="35"/>
    <w:bookmarkStart w:id="36" w:name="Xb42e29c4654a72b5b700e167e9d0a34f3bf5edf"/>
    <w:p>
      <w:pPr>
        <w:pStyle w:val="Heading3"/>
      </w:pPr>
      <w:r>
        <w:rPr>
          <w:color w:val="000000"/>
        </w:rP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Figure S4,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 both methods evaluated against the simulated ground-truth tree)</w:t>
      </w:r>
      <w:r>
        <w:t xml:space="preserve">: Fusang nRF=0.080 ± 0.016 vs FastTree2 nRF=0.084 ± 0.019; Cohen’s d=−0.20 [95% CI: −0.42, 0.02]; Fusang lower nRF in 60/112 seeds (53.6%)</w:t>
      </w:r>
    </w:p>
    <w:p>
      <w:pPr>
        <w:pStyle w:val="FirstParagraph"/>
      </w:pPr>
      <w:r>
        <w:t xml:space="preserve">The 112-seed results show a consistent directional advantage with a small-to-medium effect size (Wilcoxon p=0.052, borderline at α=0.05).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 (see Supplementary Figure S6 for effect size analyses across benchmarks).</w:t>
      </w:r>
    </w:p>
    <w:p>
      <w:pPr>
        <w:pStyle w:val="BodyText"/>
      </w:pPr>
      <w:r>
        <w:t xml:space="preserve">The per-seed nRF distributions reveal that Fusang’s standard deviation (σ=0.016) is comparable to FastTree2’s (σ=0.019), indicating stable performance across replicates. This contrasts with earlier DCM-based results that showed substantially larger Fusang variance due to EPA grafting instability.</w:t>
      </w:r>
    </w:p>
    <w:bookmarkEnd w:id="36"/>
    <w:bookmarkStart w:id="37" w:name="X7d03708596f70ce951120c20ebef964bbd543ce"/>
    <w:p>
      <w:pPr>
        <w:pStyle w:val="Heading3"/>
      </w:pPr>
      <w:r>
        <w:rPr>
          <w:color w:val="000000"/>
        </w:rP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(Table 4).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4. Multi-k ensemble vs single-k configuration (n=200, indel rate=0.02, 30 seeds, seed set 230–259). All nRF values are FT2-relative (vs the FastTree2 reference tree of the same seed).</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−0.53 (medium effect size, negative favoring the ensemble;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 The ensemble-vs-default comparison is not stable across seed sets; a pooled analysis across both available seed sets is reported in the competitor comparison section below.</w:t>
      </w:r>
    </w:p>
    <w:bookmarkEnd w:id="37"/>
    <w:bookmarkStart w:id="38" w:name="multi-k-nj-comparison-with-msaml"/>
    <w:p>
      <w:pPr>
        <w:pStyle w:val="Heading3"/>
      </w:pPr>
      <w:r>
        <w:rPr>
          <w:color w:val="000000"/>
        </w:rPr>
        <w:t xml:space="preserve">Multi-k NJ: comparison with MSA+ML</w:t>
      </w:r>
    </w:p>
    <w:p>
      <w:pPr>
        <w:pStyle w:val="FirstParagraph"/>
      </w:pPr>
      <w:r>
        <w:t xml:space="preserve">To determine whether the multi-k ensemble’s improvement translates to MSA+ML-level accuracy, we conducted a pipeline-level validation against the true simulated coalescent tree (n=200, L=1000 bp, sub=0.05, indel=0.02, 30 seeds). We compared three levels of the Fusang multi-layer pipeline (Table 5): Level 0 (L0: single k-mer k=5,gap2 cosine + NJ), Level 1 (L1: multi-k k=5,7,9 contiguous cosine average + NJ), and Level 3 (L3: MAFFT v7 alignment + FastTree2 GTR+CAT, nucleotide mode). All 30 seeds completed for every level; the L3 level was executed on Linux (WSL2 Ubuntu-24.04, MAFFT –auto + FastTree2</w:t>
      </w:r>
      <w:r>
        <w:t xml:space="preserve"> </w:t>
      </w:r>
      <w:r>
        <w:rPr>
          <w:rStyle w:val="VerbatimChar"/>
        </w:rPr>
        <w:t xml:space="preserve">-nt -gtr -nosupport</w:t>
      </w:r>
      <w:r>
        <w:t xml:space="preserve">), replacing an earlier 5-seed Windows run whose MAFFT instability had limited the comparison (see Supplementary Note S8 for the protocol correction and limitation analysis). The pipeline-level benchmark uses L=1000 bp rather than the L=500 bp of Tables 1 and 3: the coalescent protocol was fixed during multi-layer pipeline development — before the L1-vs-L3 comparison was designed — with L=1000 bp chosen so that the k=9 member of the multi-k set has non-sparse frequency vectors at n=200. The protocol was identical for the superseded 5-seed run and the full 30-seed rerun, and all levels (L0, L1, L3) are compared within this single protocol, so level comparisons are internally fair.</w:t>
      </w:r>
    </w:p>
    <w:p>
      <w:pPr>
        <w:pStyle w:val="BodyText"/>
      </w:pPr>
      <w:r>
        <w:rPr>
          <w:b/>
          <w:bCs/>
        </w:rPr>
        <w:t xml:space="preserve">Table 5. Pipeline-level validation against true tree (n=200, L=1000 bp, sub=0.05, indel=0.02, 30 seeds, all levels complete). All nRF values are TRUE-relative (vs simulated coalescent ground truth). Note: this benchmark uses a coalescent simulation protocol with L=1000 bp, independent of the guide-tree protocol used in Tables 1 and 3 (L=500 bp);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0.601</w:t>
            </w:r>
          </w:p>
        </w:tc>
        <w:tc>
          <w:tcPr/>
          <w:p>
            <w:pPr>
              <w:pStyle w:val="Compact"/>
            </w:pPr>
            <w:r>
              <w:t xml:space="preserve">0.055</w:t>
            </w:r>
          </w:p>
        </w:tc>
        <w:tc>
          <w:tcPr/>
          <w:p>
            <w:pPr>
              <w:pStyle w:val="Compact"/>
            </w:pPr>
            <w:r>
              <w:t xml:space="preserve">30</w:t>
            </w:r>
          </w:p>
        </w:tc>
        <w:tc>
          <w:tcPr/>
          <w:p>
            <w:pPr>
              <w:pStyle w:val="Compact"/>
              <w:jc w:val="center"/>
            </w:pPr>
            <w:r>
              <w:t xml:space="preserve">&lt; 0.0001 ²</w:t>
            </w:r>
          </w:p>
        </w:tc>
      </w:tr>
    </w:tbl>
    <w:p>
      <w:pPr>
        <w:pStyle w:val="BodyText"/>
      </w:pPr>
      <w:r>
        <w:t xml:space="preserve">¹ Wilcoxon signed-rank paired test against L0 (single-k NJ) within the same seed.</w:t>
      </w:r>
      <w:r>
        <w:br/>
      </w:r>
      <w:r>
        <w:t xml:space="preserve">² L3 also significantly outperforms L0 (paired Wilcoxon p&lt;0.0001, paired d=3.25); the comparison of primary interest is L1 vs L3 (see text).</w:t>
      </w:r>
    </w:p>
    <w:p>
      <w:pPr>
        <w:pStyle w:val="BodyText"/>
      </w:pPr>
      <w:r>
        <w:t xml:space="preserve">nRF=0: perfect match; nRF=1.0: random tree. nRF = RF / (2(n−3)). All values vs true coalescent tree. L0 and L1 complete across all 30 seeds; L3 complete across all 30 seeds on Linux. L1 vs L0: Wilcoxon signed-rank test p&lt;0.0001, paired Cohen’s d=3.82 (large effect).</w:t>
      </w:r>
    </w:p>
    <w:p>
      <w:pPr>
        <w:pStyle w:val="BodyText"/>
      </w:pPr>
      <w:r>
        <w:t xml:space="preserve">Two key findings emerge from this validation:</w:t>
      </w:r>
    </w:p>
    <w:p>
      <w:pPr>
        <w:numPr>
          <w:ilvl w:val="0"/>
          <w:numId w:val="1006"/>
        </w:numPr>
      </w:pPr>
      <w:r>
        <w:rPr>
          <w:b/>
          <w:bCs/>
        </w:rPr>
        <w:t xml:space="preserve">Multi-k NJ significantly outperforms MSA+ML under this indel-rich coalescent simulation.</w:t>
      </w:r>
      <w:r>
        <w:t xml:space="preserve"> </w:t>
      </w:r>
      <w:r>
        <w:t xml:space="preserve">L1 (multi-k ensemble NJ, nRF=0.583±0.044) achieves lower topological error than L3 (MAFFT+FastTree2, nRF=0.601±0.055) across the full 30-seed comparison: mean per-seed difference −0.018, paired Wilcoxon p=0.024, paired Cohen’s d=−0.45 (small-to-medium effect), with L1 winning 19/30 seeds (63.3%). We note that this comparison is secondary (exploratory) in our statistical framework; after Bonferroni correction across the three pipeline-level pairwise comparisons (adjusted α=0.0167), the result is borderline (adjusted p=0.071). We therefore interpret it as evidence that multi-scale k-mer information captures phylogenetic signal at least at the level of full MSA+ML inference under indel-rich conditions — without ever computing a sequence alignment — rather than as a definitive superiority claim.</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paired d=3.82). The unusually large effect size (paired d=3.82) reflects that single-k (L0) operates near the information ceiling of a single k-mer resolution under heavy indels — the high baseline nRF (0.743) and low variance (σ=0.046 for L0, σ=0.044 for L1) combine to yield d=3.82,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practical alternative to MSA+ML for indel-rich datasets at moderate scales. The trade-off is notable: L1 requires no alignment step and completes in ~15 seconds per seed (vs ~31 seconds for L3 in the same Linux environment, a 2× speedup that grows further at larger scales where MSA cost dominates). Both methods remain substantially distant from the true tree under this deliberately harsh coalescent protocol (nRF≈0.58–0.60), so the practical takeaway is comparable-topology-at-far-lower-cost rather than high absolute accuracy. The L1≈L3 agreement is consistent with the broader pattern of k-mer methods matching MSA accuracy under indels (Tables 1, 3, 4).</w:t>
      </w:r>
    </w:p>
    <w:bookmarkEnd w:id="38"/>
    <w:bookmarkStart w:id="39" w:name="X0f624c8f270304b19d1653a84502a0bf499bddb"/>
    <w:p>
      <w:pPr>
        <w:pStyle w:val="Heading3"/>
      </w:pPr>
      <w:r>
        <w:rPr>
          <w:color w:val="000000"/>
        </w:rP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 (Table 6; per-scenario results: Supplementary Table S15):</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9"/>
    <w:bookmarkStart w:id="40" w:name="X42bfe650d2e68042cc1e94b509c1f3fca9393e5"/>
    <w:p>
      <w:pPr>
        <w:pStyle w:val="Heading3"/>
      </w:pPr>
      <w:r>
        <w:rPr>
          <w:color w:val="000000"/>
        </w:rPr>
        <w:t xml:space="preserve">Comparison with existing alignment-free methods</w:t>
      </w:r>
    </w:p>
    <w:p>
      <w:pPr>
        <w:pStyle w:val="FirstParagraph"/>
      </w:pPr>
      <w:r>
        <w:t xml:space="preserve">We compared Fusang against established alignment-free phylogenetic methods on simulated indel-rich data (n=200, sub=0.05, indel=0.02, 27 seeds, seed set 100–126; Table 7; per-seed data: Supplementary Table S10): Co-phylog (context-object matching), kmacs (k-mismatch average common substring [12]), and k-mer cosine baselines, plus Skmer [29] (genome-skim distance estimation), which proved structurally inapplicable at gene length (see below). All values in Table 7 are computed on this single common seed set and reference protocol (FT2-relative; all methods’ trees compared against the FastTree2 tree of the same seed).</w:t>
      </w:r>
    </w:p>
    <w:p>
      <w:pPr>
        <w:pStyle w:val="BodyText"/>
      </w:pPr>
      <w:r>
        <w:rPr>
          <w:b/>
          <w:bCs/>
        </w:rPr>
        <w:t xml:space="preserve">Table 7. Alignment-free method comparison on indel-rich data (n=200, sub=0.05, indel=0.02, 27 seeds, seed set 100–126,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0.408</w:t>
            </w:r>
          </w:p>
        </w:tc>
        <w:tc>
          <w:tcPr/>
          <w:p>
            <w:pPr>
              <w:pStyle w:val="Compact"/>
            </w:pPr>
            <w:r>
              <w:t xml:space="preserve">0.021</w:t>
            </w:r>
          </w:p>
        </w:tc>
        <w:tc>
          <w:tcPr/>
          <w:p>
            <w:pPr>
              <w:pStyle w:val="Compact"/>
              <w:jc w:val="center"/>
            </w:pPr>
            <w:r>
              <w:t xml:space="preserve">3.8× worse (p=5.6×10⁻⁶)</w:t>
            </w:r>
          </w:p>
        </w:tc>
      </w:tr>
      <w:tr>
        <w:tc>
          <w:tcPr/>
          <w:p>
            <w:pPr>
              <w:pStyle w:val="Compact"/>
            </w:pPr>
            <w:r>
              <w:rPr>
                <w:b/>
                <w:bCs/>
              </w:rPr>
              <w:t xml:space="preserve">kmacs</w:t>
            </w:r>
            <w:r>
              <w:t xml:space="preserve"> </w:t>
            </w:r>
            <w:r>
              <w:t xml:space="preserve">(Leimeister &amp; Morgenstern 2014)</w:t>
            </w:r>
          </w:p>
        </w:tc>
        <w:tc>
          <w:tcPr/>
          <w:p>
            <w:pPr>
              <w:pStyle w:val="Compact"/>
            </w:pPr>
            <w:r>
              <w:t xml:space="preserve">k-mismatch ACS, k=3</w:t>
            </w:r>
          </w:p>
        </w:tc>
        <w:tc>
          <w:tcPr/>
          <w:p>
            <w:pPr>
              <w:pStyle w:val="Compact"/>
            </w:pPr>
            <w:r>
              <w:rPr>
                <w:b/>
                <w:bCs/>
              </w:rPr>
              <w:t xml:space="preserve">0.177</w:t>
            </w:r>
          </w:p>
        </w:tc>
        <w:tc>
          <w:tcPr/>
          <w:p>
            <w:pPr>
              <w:pStyle w:val="Compact"/>
            </w:pPr>
            <w:r>
              <w:t xml:space="preserve">0.024</w:t>
            </w:r>
          </w:p>
        </w:tc>
        <w:tc>
          <w:tcPr/>
          <w:p>
            <w:pPr>
              <w:pStyle w:val="Compact"/>
              <w:jc w:val="center"/>
            </w:pPr>
            <w:r>
              <w:t xml:space="preserve">1.6× worse (p=5.6×10⁻⁶)</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0.104</w:t>
            </w:r>
          </w:p>
        </w:tc>
        <w:tc>
          <w:tcPr/>
          <w:p>
            <w:pPr>
              <w:pStyle w:val="Compact"/>
            </w:pPr>
            <w:r>
              <w:t xml:space="preserve">0.018</w:t>
            </w:r>
          </w:p>
        </w:tc>
        <w:tc>
          <w:tcPr/>
          <w:p>
            <w:pPr>
              <w:pStyle w:val="Compact"/>
              <w:jc w:val="center"/>
            </w:pPr>
            <w:r>
              <w:t xml:space="preserve">comparable (n.s.)</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0.107</w:t>
            </w:r>
          </w:p>
        </w:tc>
        <w:tc>
          <w:tcPr/>
          <w:p>
            <w:pPr>
              <w:pStyle w:val="Compact"/>
            </w:pPr>
            <w:r>
              <w:t xml:space="preserve">0.019</w:t>
            </w:r>
          </w:p>
        </w:tc>
        <w:tc>
          <w:tcPr/>
          <w:p>
            <w:pPr>
              <w:pStyle w:val="Compact"/>
              <w:jc w:val="center"/>
            </w:pPr>
            <w:r>
              <w:t xml:space="preserve">comparable (n.s.)</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0.108</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0.111</w:t>
            </w:r>
          </w:p>
        </w:tc>
        <w:tc>
          <w:tcPr/>
          <w:p>
            <w:pPr>
              <w:pStyle w:val="Compact"/>
            </w:pPr>
            <w:r>
              <w:t xml:space="preserve">0.018</w:t>
            </w:r>
          </w:p>
        </w:tc>
        <w:tc>
          <w:tcPr/>
          <w:p>
            <w:pPr>
              <w:pStyle w:val="Compact"/>
              <w:jc w:val="center"/>
            </w:pPr>
            <w:r>
              <w:t xml:space="preserve">comparable (n.s.)</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tests vs Fusang: Co-phylog p=5.6×10⁻⁶ (paired Cohen’s d=11.91), kmacs p=5.6×10⁻⁶ (paired d=2.54), k-mer cosine k=5 p=0.26 (paired d=−0.21), k=7 p=0.99 (paired d=−0.04), multi-k ensemble p=0.30 (paired d=+0.22).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d=11.91 value for Co-phylog should be interpreted as indicating near-deterministic superiority on every seed rather than a proportionally larger effect (d&gt;2 is conventionally</w:t>
      </w:r>
      <w:r>
        <w:t xml:space="preserve"> </w:t>
      </w:r>
      <w:r>
        <w:t xml:space="preserve">“very large”</w:t>
      </w:r>
      <w:r>
        <w:t xml:space="preserve">).</w:t>
      </w:r>
    </w:p>
    <w:p>
      <w:pPr>
        <w:pStyle w:val="BodyText"/>
      </w:pPr>
      <w:r>
        <w:t xml:space="preserve">Three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nRF=0.408, 3.8× worse than Fusang, p=5.6×10⁻⁶)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 (Co-phylog results are from our Python reimplementation, Supplementary Note S4; on the fish benchmark — see Real genome benchmarks below — the reimplementation slightly exceeds the published configuration’s accuracy, indicating the reimplementation is not disadvantaged relative to the original; the DNA conclusion here is therefore conservative in direction.)</w:t>
      </w:r>
    </w:p>
    <w:p>
      <w:pPr>
        <w:numPr>
          <w:ilvl w:val="0"/>
          <w:numId w:val="1008"/>
        </w:numPr>
      </w:pPr>
      <w:r>
        <w:rPr>
          <w:b/>
          <w:bCs/>
        </w:rPr>
        <w:t xml:space="preserve">kmacs, the closest classical relative of our approach, is significantly less accurate under indels.</w:t>
      </w:r>
      <w:r>
        <w:t xml:space="preserve"> </w:t>
      </w:r>
      <w:r>
        <w:t xml:space="preserve">kmacs extends the average common substring (ACS) approach with k-mismatch matching, making it the most directly comparable classical method. We scanned k∈{3,5,10} and found accuracy degrades monotonically with increasing k (vs FT2: k=3 0.177, k=5 0.224, k=10 0.272); we report the best configuration (k=3). Even at its best, kmacs achieves nRF=0.177±0.024 vs FT2 (TRUE-relative: 0.168±0.022), significantly worse than Fusang (paired Wilcoxon p=5.6×10⁻⁶, paired d=2.54) — though far more robust than Co-phylog (0.408). Substring-matching distances are sensitive to indel-disrupted substring sharing even with k-mismatch tolerance, whereas k-mer frequency vectors degrade gracefully because indels perturb frequencies rather than destroy matches.</w:t>
      </w:r>
    </w:p>
    <w:p>
      <w:pPr>
        <w:numPr>
          <w:ilvl w:val="0"/>
          <w:numId w:val="1008"/>
        </w:numPr>
      </w:pPr>
      <w:r>
        <w:rPr>
          <w:b/>
          <w:bCs/>
        </w:rPr>
        <w:t xml:space="preserve">Simple k-mer cosine distances show no significant difference from spaced k-mers.</w:t>
      </w:r>
      <w:r>
        <w:t xml:space="preserve"> </w:t>
      </w:r>
      <w:r>
        <w:t xml:space="preserve">Standard contiguous k-mer cosine distance (k=5 or k=7) achieves nRF≈0.10–0.11, with no significant difference from Fusang’s spaced k-mer configuration (k=5: 0.104 vs 0.108, p=0.26, paired d=−0.21). With n=27, power to detect a medium effect (d=0.5) is approximately 0.73, so equivalence should not be inferred from the non-significant result. At the tested indel rate (0.02), the spaced k-mer gap pattern provides no detected advantage over contiguous k-mers on this DNA benchmark — consistent with the protein-domain result (p=0.31; see Cross-domain validation below). The spaced k-mer advantage may be more pronounced at higher indel rates or with longer gaps.</w:t>
      </w:r>
    </w:p>
    <w:p>
      <w:pPr>
        <w:pStyle w:val="FirstParagraph"/>
      </w:pPr>
      <w:r>
        <w:rPr>
          <w:b/>
          <w:bCs/>
        </w:rPr>
        <w:t xml:space="preserve">Reproducibility of the ensemble effect across seed sets.</w:t>
      </w:r>
      <w:r>
        <w:t xml:space="preserve"> </w:t>
      </w:r>
      <w:r>
        <w:t xml:space="preserve">On this 27-seed seed set the multi-k ensemble is likewise statistically indistinguishable from the default spaced configuration (0.111 vs 0.108, paired d=+0.22, p=0.30) — the opposite sign from the 30-seed benchmark of Table 4 (d=−0.53, p=0.006; heterogeneity between the two seed sets’ effect sizes: z≈−2.8, p≈0.005). Pooling all 57 seeds from both sets, the ensemble-vs-default difference is not significant (mean per-seed difference −0.003, paired d=−0.17, 95% CI [−0.45, 0.09], Wilcoxon p=0.19; ensemble wins 32/57). We therefore do not claim a general accuracy advantage of the multi-k ensemble over the default spaced configuration at L=500 bp. The ensemble’s established benefits are (i) the large single-k→multi-k gain under the L=1000 bp coalescent protocol (Table 5, d=3.82, p&lt;0.0001) and (ii) the automatic rescue of the saturating gene-scale default at genome scale (see Real genome benchmarks below).</w:t>
      </w:r>
    </w:p>
    <w:p>
      <w:pPr>
        <w:pStyle w:val="BodyText"/>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Regarding Skmer</w:t>
      </w:r>
      <w:r>
        <w:t xml:space="preserve"> </w:t>
      </w:r>
      <w:r>
        <w:t xml:space="preserve">[29]: Skmer v3.3.0 estimates distances from genome skims through a k-mer depth-spectrum coverage and error-correction model. On 500-bp single-gene inputs (all 27 seeds, tested at the default k=31 and at k=21), its coverage estimator fails with a division-by-zero error in every case: at gene length each k-mer occurs approximately once, producing a degenerate depth histogram on which the coverage model cannot operate, and no distance matrix can be computed. Skmer is thus structurally inapplicable to gene-length phylogenetic inference — an outcome parallel to andi, whose suffix-array anchors likewise require genome-scale input. Both cases reflect design-domain mismatches rather than methodological weaknesses.</w:t>
      </w:r>
    </w:p>
    <w:bookmarkEnd w:id="40"/>
    <w:bookmarkStart w:id="41" w:name="X26e8801525732350372ec750684b71a00db74f1"/>
    <w:p>
      <w:pPr>
        <w:pStyle w:val="Heading3"/>
      </w:pPr>
      <w:r>
        <w:rPr>
          <w:color w:val="000000"/>
        </w:rP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5),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1"/>
    <w:bookmarkStart w:id="42" w:name="spaced-k-mer-gap-scales-with-tree-size"/>
    <w:p>
      <w:pPr>
        <w:pStyle w:val="Heading3"/>
      </w:pPr>
      <w:r>
        <w:rPr>
          <w:color w:val="000000"/>
        </w:rPr>
        <w:t xml:space="preserve">Spaced k-mer gap scales with tree size</w:t>
      </w:r>
    </w:p>
    <w:p>
      <w:pPr>
        <w:pStyle w:val="FirstParagraph"/>
      </w:pPr>
      <w:r>
        <w:t xml:space="preserve">Systematic parameter scanning (k=3–8, gap=0–4, n=20–1000) revealed a robust relationship between optimal gap and dataset size (Table 8, Figure 4, Supplementary Figure S1, Supplementary Figure S2). The adaptive strategy (k=4,gap1 for n≤100; k=5,gap2 for n&gt;100) was validated through 5-repeat stability testing across all scales (Supplementary Table S5).</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 ‡ Row values are from the 30-seed benchmark (seed set 70–99); the independent 112-seed benchmark (seeds 100–229, after outlier exclusion) yields p=0.052 (borderline, Table 3).</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2"/>
    <w:bookmarkStart w:id="43" w:name="validation-on-real-16s-rrna-sequences"/>
    <w:p>
      <w:pPr>
        <w:pStyle w:val="Heading3"/>
      </w:pPr>
      <w:r>
        <w:rPr>
          <w:color w:val="000000"/>
        </w:rPr>
        <w:t xml:space="preserve">Validation on real 16S rRNA sequences</w:t>
      </w:r>
    </w:p>
    <w:p>
      <w:pPr>
        <w:pStyle w:val="FirstParagraph"/>
      </w:pPr>
      <w:r>
        <w:t xml:space="preserve">Fusang processed 74 representative 16S rRNA sequences spanning six bacterial phyla in 1.2 seconds without alignment (simplified pipeline, k=5,gap2). Tree-based pairwise distances were compared against NCBI taxonomic classifications (Table 9).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given the small number of assessable groups, we treat this recovery-rate comparison as descriptive. The RF distance between Fusang and NCBI taxonomy was nRF=0.68, compared to nRF=0.45 for FastTree2 vs NCBI. While Fusang’s recovery rate compares favorably to random expectation, it falls short of MSA-based accuracy on this dataset (Figure 6, Supplementary Figure S5). This result delineates an applicability boundary of the method rather than contradicting the indel-robustness findings on simulated data: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(test statistic: difference in group means; 10,000 random permutations per level). A verification rerun of these tests on the archived tree and metadata (which retain 73 of the 74 taxa) reproduces significant signal at both order and phylum levels (7.3% and 3.8% mean-distance reduction, p=0.027 and p=0.003); family-rank labels were not retained in the archived metadata, and the family row is reported from the original analysis.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bookmarkEnd w:id="43"/>
    <w:bookmarkStart w:id="44" w:name="X6b7eca8d2c8b35fbd4d022cffa99661361806bd"/>
    <w:p>
      <w:pPr>
        <w:pStyle w:val="Heading3"/>
      </w:pPr>
      <w:r>
        <w:rPr>
          <w:color w:val="000000"/>
        </w:rP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[14] — the community standard for alignment-free gene tree inference. This benchmark comprises 11 protein gene families (29–159 taxa, 109–576 amino acids per sequence) with trusted reference trees from the SwissTree database (Table 10; per-family data: Supplementary Tables S11–S12).</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bookmarkEnd w:id="44"/>
    <w:bookmarkStart w:id="45" w:name="X8e4a70f1044dcabc7ce89dc05020fab63793870"/>
    <w:p>
      <w:pPr>
        <w:pStyle w:val="Heading3"/>
      </w:pPr>
      <w:r>
        <w:rPr>
          <w:color w:val="000000"/>
        </w:rPr>
        <w:t xml:space="preserve">Scalability: from single genes to 10,000 taxa</w:t>
      </w:r>
    </w:p>
    <w:p>
      <w:pPr>
        <w:pStyle w:val="FirstParagraph"/>
      </w:pPr>
      <w:r>
        <w:t xml:space="preserve">Fusang completes phylogenetic inference on 10,000 taxa in 54.4 seconds (Table 11, Figure 5),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11.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5"/>
    <w:bookmarkStart w:id="46" w:name="Xd680c95b2a259f924a0cc7d48976b695e518e43"/>
    <w:p>
      <w:pPr>
        <w:pStyle w:val="Heading3"/>
      </w:pPr>
      <w:r>
        <w:rPr>
          <w:color w:val="000000"/>
        </w:rPr>
        <w:t xml:space="preserve">Real indel-rich genome benchmarks: AFproject community datasets</w:t>
      </w:r>
    </w:p>
    <w:p>
      <w:pPr>
        <w:pStyle w:val="FirstParagraph"/>
      </w:pPr>
      <w:r>
        <w:t xml:space="preserve">The indel-robustness claims rest primarily on simulations; we therefore validated on two real whole-genome datasets with published trusted reference trees from the AFproject community benchmark [14] (Table 12; full results: Supplementary Table S16). Before benchmarking, we quantified the indel content of our real datasets: the fish mitochondrial alignment contains 9.1% gap cells, and the SwissTree protein families (Table 10) contain a median of 50% gap cells (range 11–81%) — establishing that the existing protein benchmark is strongly indel-rich real data.</w:t>
      </w:r>
    </w:p>
    <w:p>
      <w:pPr>
        <w:pStyle w:val="BodyText"/>
      </w:pPr>
      <w:r>
        <w:rPr>
          <w:b/>
          <w:bCs/>
        </w:rPr>
        <w:t xml:space="preserve">Table 12. Real genome benchmarks (AFproject community datasets, ETE3 nRF¹ vs published reference trees). All methods use NJ on unaligned input unless noted.</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Method</w:t>
            </w:r>
          </w:p>
        </w:tc>
        <w:tc>
          <w:tcPr/>
          <w:p>
            <w:pPr>
              <w:pStyle w:val="Compact"/>
              <w:jc w:val="center"/>
            </w:pPr>
            <w:r>
              <w:t xml:space="preserve">Fish mtDNA (n=25) ↓</w:t>
            </w:r>
          </w:p>
        </w:tc>
        <w:tc>
          <w:tcPr/>
          <w:p>
            <w:pPr>
              <w:pStyle w:val="Compact"/>
              <w:jc w:val="center"/>
            </w:pPr>
            <w:r>
              <w:t xml:space="preserve">E. coli/Shigella (n=27) ↓</w:t>
            </w:r>
          </w:p>
        </w:tc>
      </w:tr>
      <w:tr>
        <w:tc>
          <w:tcPr/>
          <w:p>
            <w:pPr>
              <w:pStyle w:val="Compact"/>
            </w:pPr>
            <w:r>
              <w:rPr>
                <w:b/>
                <w:bCs/>
              </w:rPr>
              <w:t xml:space="preserve">Multi-k cosine (k=5,7,9 avg)</w:t>
            </w:r>
          </w:p>
        </w:tc>
        <w:tc>
          <w:tcPr/>
          <w:p>
            <w:pPr>
              <w:pStyle w:val="Compact"/>
              <w:jc w:val="center"/>
            </w:pPr>
            <w:r>
              <w:rPr>
                <w:b/>
                <w:bCs/>
              </w:rPr>
              <w:t xml:space="preserve">0.045</w:t>
            </w:r>
          </w:p>
        </w:tc>
        <w:tc>
          <w:tcPr/>
          <w:p>
            <w:pPr>
              <w:pStyle w:val="Compact"/>
              <w:jc w:val="center"/>
            </w:pPr>
            <w:r>
              <w:t xml:space="preserve">0.500</w:t>
            </w:r>
          </w:p>
        </w:tc>
      </w:tr>
      <w:tr>
        <w:tc>
          <w:tcPr/>
          <w:p>
            <w:pPr>
              <w:pStyle w:val="Compact"/>
            </w:pPr>
            <w:r>
              <w:rPr>
                <w:b/>
                <w:bCs/>
              </w:rPr>
              <w:t xml:space="preserve">Multi-k cosine (k=7,9,11 avg)</w:t>
            </w:r>
          </w:p>
        </w:tc>
        <w:tc>
          <w:tcPr/>
          <w:p>
            <w:pPr>
              <w:pStyle w:val="Compact"/>
              <w:jc w:val="center"/>
            </w:pPr>
            <w:r>
              <w:rPr>
                <w:b/>
                <w:bCs/>
              </w:rPr>
              <w:t xml:space="preserve">0.045</w:t>
            </w:r>
          </w:p>
        </w:tc>
        <w:tc>
          <w:tcPr/>
          <w:p>
            <w:pPr>
              <w:pStyle w:val="Compact"/>
              <w:jc w:val="center"/>
            </w:pPr>
            <w:r>
              <w:t xml:space="preserve">—</w:t>
            </w:r>
          </w:p>
        </w:tc>
      </w:tr>
      <w:tr>
        <w:tc>
          <w:tcPr/>
          <w:p>
            <w:pPr>
              <w:pStyle w:val="Compact"/>
            </w:pPr>
            <w:r>
              <w:t xml:space="preserve">Multi-k cosine (k=9,11,13 avg)</w:t>
            </w:r>
          </w:p>
        </w:tc>
        <w:tc>
          <w:tcPr/>
          <w:p>
            <w:pPr>
              <w:pStyle w:val="Compact"/>
              <w:jc w:val="center"/>
            </w:pPr>
            <w:r>
              <w:t xml:space="preserve">—</w:t>
            </w:r>
          </w:p>
        </w:tc>
        <w:tc>
          <w:tcPr/>
          <w:p>
            <w:pPr>
              <w:pStyle w:val="Compact"/>
              <w:jc w:val="center"/>
            </w:pPr>
            <w:r>
              <w:t xml:space="preserve">0.500</w:t>
            </w:r>
          </w:p>
        </w:tc>
      </w:tr>
      <w:tr>
        <w:tc>
          <w:tcPr/>
          <w:p>
            <w:pPr>
              <w:pStyle w:val="Compact"/>
            </w:pPr>
            <w:r>
              <w:t xml:space="preserve">K-mer cosine k=9 / k=11 / k=13</w:t>
            </w:r>
          </w:p>
        </w:tc>
        <w:tc>
          <w:tcPr/>
          <w:p>
            <w:pPr>
              <w:pStyle w:val="Compact"/>
              <w:jc w:val="center"/>
            </w:pPr>
            <w:r>
              <w:t xml:space="preserve">0.091 / 0.091 / —</w:t>
            </w:r>
          </w:p>
        </w:tc>
        <w:tc>
          <w:tcPr/>
          <w:p>
            <w:pPr>
              <w:pStyle w:val="Compact"/>
              <w:jc w:val="center"/>
            </w:pPr>
            <w:r>
              <w:t xml:space="preserve">0.500 / 0.500 / 0.500</w:t>
            </w:r>
          </w:p>
        </w:tc>
      </w:tr>
      <w:tr>
        <w:tc>
          <w:tcPr/>
          <w:p>
            <w:pPr>
              <w:pStyle w:val="Compact"/>
            </w:pPr>
            <w:r>
              <w:t xml:space="preserve">K-mer cosine k=5 (gene-scale default)</w:t>
            </w:r>
          </w:p>
        </w:tc>
        <w:tc>
          <w:tcPr/>
          <w:p>
            <w:pPr>
              <w:pStyle w:val="Compact"/>
              <w:jc w:val="center"/>
            </w:pPr>
            <w:r>
              <w:t xml:space="preserve">0.545</w:t>
            </w:r>
          </w:p>
        </w:tc>
        <w:tc>
          <w:tcPr/>
          <w:p>
            <w:pPr>
              <w:pStyle w:val="Compact"/>
              <w:jc w:val="center"/>
            </w:pPr>
            <w:r>
              <w:t xml:space="preserve">0.875</w:t>
            </w:r>
          </w:p>
        </w:tc>
      </w:tr>
      <w:tr>
        <w:tc>
          <w:tcPr/>
          <w:p>
            <w:pPr>
              <w:pStyle w:val="Compact"/>
            </w:pPr>
            <w:r>
              <w:t xml:space="preserve">kmacs (k=10,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kmacs (k=3)</w:t>
            </w:r>
          </w:p>
        </w:tc>
        <w:tc>
          <w:tcPr/>
          <w:p>
            <w:pPr>
              <w:pStyle w:val="Compact"/>
              <w:jc w:val="center"/>
            </w:pPr>
            <w:r>
              <w:t xml:space="preserve">0.182</w:t>
            </w:r>
          </w:p>
        </w:tc>
        <w:tc>
          <w:tcPr/>
          <w:p>
            <w:pPr>
              <w:pStyle w:val="Compact"/>
              <w:jc w:val="center"/>
            </w:pPr>
            <w:r>
              <w:t xml:space="preserve">n/a ³</w:t>
            </w:r>
          </w:p>
        </w:tc>
      </w:tr>
      <w:tr>
        <w:tc>
          <w:tcPr/>
          <w:p>
            <w:pPr>
              <w:pStyle w:val="Compact"/>
            </w:pPr>
            <w:r>
              <w:t xml:space="preserve">Mash (k=11, s=5000,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Mash (k=21, s=10000)</w:t>
            </w:r>
          </w:p>
        </w:tc>
        <w:tc>
          <w:tcPr/>
          <w:p>
            <w:pPr>
              <w:pStyle w:val="Compact"/>
              <w:jc w:val="center"/>
            </w:pPr>
            <w:r>
              <w:t xml:space="preserve">0.091</w:t>
            </w:r>
          </w:p>
        </w:tc>
        <w:tc>
          <w:tcPr/>
          <w:p>
            <w:pPr>
              <w:pStyle w:val="Compact"/>
              <w:jc w:val="center"/>
            </w:pPr>
            <w:r>
              <w:t xml:space="preserve">0.208</w:t>
            </w:r>
          </w:p>
        </w:tc>
      </w:tr>
      <w:tr>
        <w:tc>
          <w:tcPr/>
          <w:p>
            <w:pPr>
              <w:pStyle w:val="Compact"/>
            </w:pPr>
            <w:r>
              <w:t xml:space="preserve">Co-phylog (halfctx=5, AFproject config)</w:t>
            </w:r>
          </w:p>
        </w:tc>
        <w:tc>
          <w:tcPr/>
          <w:p>
            <w:pPr>
              <w:pStyle w:val="Compact"/>
              <w:jc w:val="center"/>
            </w:pPr>
            <w:r>
              <w:rPr>
                <w:b/>
                <w:bCs/>
              </w:rPr>
              <w:t xml:space="preserve">0.045</w:t>
            </w:r>
            <w:r>
              <w:t xml:space="preserve"> </w:t>
            </w:r>
            <w:r>
              <w:t xml:space="preserve">[published 0.09]</w:t>
            </w:r>
          </w:p>
        </w:tc>
        <w:tc>
          <w:tcPr/>
          <w:p>
            <w:pPr>
              <w:pStyle w:val="Compact"/>
              <w:jc w:val="center"/>
            </w:pPr>
            <w:r>
              <w:t xml:space="preserve">—</w:t>
            </w:r>
          </w:p>
        </w:tc>
      </w:tr>
      <w:tr>
        <w:tc>
          <w:tcPr/>
          <w:p>
            <w:pPr>
              <w:pStyle w:val="Compact"/>
            </w:pPr>
            <w:r>
              <w:t xml:space="preserve">MAFFT+FastTree2 (MSA+ML)</w:t>
            </w:r>
          </w:p>
        </w:tc>
        <w:tc>
          <w:tcPr/>
          <w:p>
            <w:pPr>
              <w:pStyle w:val="Compact"/>
              <w:jc w:val="center"/>
            </w:pPr>
            <w:r>
              <w:rPr>
                <w:b/>
                <w:bCs/>
              </w:rPr>
              <w:t xml:space="preserve">0.045</w:t>
            </w:r>
          </w:p>
        </w:tc>
        <w:tc>
          <w:tcPr/>
          <w:p>
            <w:pPr>
              <w:pStyle w:val="Compact"/>
              <w:jc w:val="center"/>
            </w:pPr>
            <w:r>
              <w:t xml:space="preserve">not feasible ²</w:t>
            </w:r>
          </w:p>
        </w:tc>
      </w:tr>
      <w:tr>
        <w:tc>
          <w:tcPr/>
          <w:p>
            <w:pPr>
              <w:pStyle w:val="Compact"/>
            </w:pPr>
            <w:r>
              <w:t xml:space="preserve">Published AFproject best (andi/Co-phylog/phylonium)</w:t>
            </w:r>
          </w:p>
        </w:tc>
        <w:tc>
          <w:tcPr/>
          <w:p>
            <w:pPr>
              <w:pStyle w:val="Compact"/>
              <w:jc w:val="center"/>
            </w:pPr>
            <w:r>
              <w:t xml:space="preserve">0.05</w:t>
            </w:r>
          </w:p>
        </w:tc>
        <w:tc>
          <w:tcPr/>
          <w:p>
            <w:pPr>
              <w:pStyle w:val="Compact"/>
              <w:jc w:val="center"/>
            </w:pPr>
            <w:r>
              <w:t xml:space="preserve">0.08</w:t>
            </w:r>
          </w:p>
        </w:tc>
      </w:tr>
    </w:tbl>
    <w:p>
      <w:pPr>
        <w:pStyle w:val="BodyText"/>
      </w:pPr>
      <w:r>
        <w:t xml:space="preserve">¹ nRF computed with ETE3 Tree.compare (unrooted, informative splits only, max_rf = 2(n−3)) — the AFproject scoring standard; not numerically comparable with the internal nRF of Tables 1–11.</w:t>
      </w:r>
      <w:r>
        <w:t xml:space="preserve"> </w:t>
      </w:r>
      <w:r>
        <w:t xml:space="preserve">“—”</w:t>
      </w:r>
      <w:r>
        <w:t xml:space="preserve"> </w:t>
      </w:r>
      <w:r>
        <w:t xml:space="preserve">= not tested (see notes);</w:t>
      </w:r>
      <w:r>
        <w:t xml:space="preserve"> </w:t>
      </w:r>
      <w:r>
        <w:t xml:space="preserve">“n/a”</w:t>
      </w:r>
      <w:r>
        <w:t xml:space="preserve"> </w:t>
      </w:r>
      <w:r>
        <w:t xml:space="preserve">= not applicable. Values in brackets are the scores published in the AFproject benchmark for the same method configuration; kmacs and Mash are original binaries and reproduce the published values (difference ≤ one split, consistent with NJ implementation differences), cross-validating the benchmark harness (data, NJ, and ETE3 scoring) rather than Fusang itself. Co-phylog is our Python reimplementation (as in Table 7), which explains its slightly better-than-published fish score.</w:t>
      </w:r>
      <w:r>
        <w:t xml:space="preserve"> </w:t>
      </w:r>
      <w:r>
        <w:t xml:space="preserve">² Whole-genome alignment of 27 × ~4.6 Mb is impractical — the regime where alignment-free methods are the only option.</w:t>
      </w:r>
      <w:r>
        <w:t xml:space="preserve"> </w:t>
      </w:r>
      <w:r>
        <w:t xml:space="preserve">³ kmacs (single-threaded) did not complete on the 27 × ~4.6 Mb dataset within our single-workstation compute budget (&gt;40 min without producing a distance matrix); Mash and the published AFproject leaderboard provide the genome-scale comparators for this dataset.</w:t>
      </w:r>
    </w:p>
    <w:p>
      <w:pPr>
        <w:pStyle w:val="BodyText"/>
      </w:pPr>
      <w:r>
        <w:t xml:space="preserve">Three findings emerge:</w:t>
      </w:r>
    </w:p>
    <w:p>
      <w:pPr>
        <w:numPr>
          <w:ilvl w:val="0"/>
          <w:numId w:val="1010"/>
        </w:numPr>
      </w:pPr>
      <w:r>
        <w:rPr>
          <w:b/>
          <w:bCs/>
        </w:rPr>
        <w:t xml:space="preserve">On deep-divergence indel-rich real data, the multi-k cosine ensemble reaches the community-benchmark ceiling.</w:t>
      </w:r>
      <w:r>
        <w:t xml:space="preserve"> </w:t>
      </w:r>
      <w:r>
        <w:t xml:space="preserve">On the fish mitochondrial dataset (25 genomes across multiple orders, 9.1% alignment gaps), multi-k cosine achieves nRF=0.045 — identical to MAFFT+FastTree2 and to kmacs, Mash, and Co-phylog at their AFproject-published best configurations. This dataset does not discriminate among these methods: with n=25 taxa (44 informative splits), 0.045 corresponds to a 2-split difference from the trusted tree, and all top methods converge at this floor. The evidential value is therefore not that the ensemble distinguishes itself from MSA+ML, but that an alignment-free method with no k selection and no alignment step (~15s total vs ~75s for MAFFT alone) reaches the community optimum on real deep-divergence indel-rich data.</w:t>
      </w:r>
    </w:p>
    <w:p>
      <w:pPr>
        <w:numPr>
          <w:ilvl w:val="0"/>
          <w:numId w:val="1010"/>
        </w:numPr>
      </w:pPr>
      <w:r>
        <w:rPr>
          <w:b/>
          <w:bCs/>
        </w:rPr>
        <w:t xml:space="preserve">The k parameter must scale with sequence length, and the multi-k ensemble provides this automatically.</w:t>
      </w:r>
      <w:r>
        <w:t xml:space="preserve"> </w:t>
      </w:r>
      <w:r>
        <w:t xml:space="preserve">The gene-scale default (k=5) saturates at genome scale (only 1,024 possible 5-mers over 17–4,600 kb of sequence), producing near-random trees (fish nRF=0.545; E. coli nRF=0.875). Single larger k values recover signal on fish (k=9: 0.091; k=11: 0.091), yet the multi-k average — which includes the saturated k=5 and k=7 matrices — still achieves the best result (0.045). A plausible but unverified mechanism (this is a single dataset, and the explanation is post hoc) is that the informative scale-specific variation in the k=7–11 matrices dominates the topology while the ensemble averages out scale-specific noise. The multi-k ensemble thereby removes the need for length-aware k selection across a &gt;2,000-fold range of sequence lengths (500 bp genes to 17 kb mitogenomes).</w:t>
      </w:r>
    </w:p>
    <w:p>
      <w:pPr>
        <w:numPr>
          <w:ilvl w:val="0"/>
          <w:numId w:val="1010"/>
        </w:numPr>
      </w:pPr>
      <w:r>
        <w:rPr>
          <w:b/>
          <w:bCs/>
        </w:rPr>
        <w:t xml:space="preserve">E. coli/Shigella delineates an applicability boundary: shallow divergence dominated by recombination and gene flux.</w:t>
      </w:r>
      <w:r>
        <w:t xml:space="preserve"> </w:t>
      </w:r>
      <w:r>
        <w:t xml:space="preserve">On the 27-genome dataset (within-species divergence, recombination and gene gain/loss dominate over substitution), k-mer cosine plateaus at nRF=0.50 for all k≥9 and all multi-k variants, whereas Mash reaches 0.208 (our run) / 0.12 (published), and anchor-based methods reach 0.08 (published andi, Co-phylog, phylonium). At within-species identity, the frequency-vector difference between genomes is dominated by the conserved background, while anchor- and sketch-based distances (shared k-mer fractions, average common substrings) remain sensitive to the small divergent fraction. We conclude that k-mer cosine distances are the method of choice for moderate-to-deep divergence (gene families across genera to phyla, organelle genomes, the simulated 5%-substitution regime), and recommend anchor-based or MinHash methods for strain-level bacterial collections — a boundary that complements the 16S structured-gene boundary reported above.</w:t>
      </w:r>
    </w:p>
    <w:bookmarkEnd w:id="46"/>
    <w:bookmarkStart w:id="47" w:name="parameter-stability-and-reproducibility"/>
    <w:p>
      <w:pPr>
        <w:pStyle w:val="Heading3"/>
      </w:pPr>
      <w:r>
        <w:rPr>
          <w:color w:val="000000"/>
        </w:rP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7"/>
    <w:bookmarkEnd w:id="48"/>
    <w:bookmarkStart w:id="54" w:name="discussion"/>
    <w:p>
      <w:pPr>
        <w:pStyle w:val="Heading2"/>
      </w:pPr>
      <w:r>
        <w:rPr>
          <w:color w:val="000000"/>
        </w:rPr>
        <w:t xml:space="preserve">DISCUSSION</w:t>
      </w:r>
    </w:p>
    <w:bookmarkStart w:id="49" w:name="X81586ede4893e3a7c4c3601b8419de68c7304dd"/>
    <w:p>
      <w:pPr>
        <w:pStyle w:val="Heading3"/>
      </w:pPr>
      <w:r>
        <w:rPr>
          <w:color w:val="000000"/>
        </w:rP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[30]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1"/>
        </w:numPr>
      </w:pPr>
      <w:r>
        <w:rPr>
          <w:b/>
          <w:bCs/>
        </w:rPr>
        <w:t xml:space="preserve">Cosine distance is the primary accuracy driver; spaced patterns provide domain-dependent secondary benefits.</w:t>
      </w:r>
      <w:r>
        <w:t xml:space="preserve"> </w:t>
      </w:r>
      <w:r>
        <w:t xml:space="preserve">At the tested indel rate (0.02), contiguous k=5 cosine (nRF=0.104) is statistically indistinguishable from spaced k=5,gap2 (nRF=0.108, p=0.26), and the multi-k ensemble matches both (nRF=0.105–0.111 across the two benchmark seed sets). Spaced patterns show their clearest benefits in specific regimes: the best protein-family configuration is spaced (k=4,gap1, nRF=0.239, Table 10), and on indel data a wider gap (gap3) improves over gap2 by 10.5% (Supplementary Table S2). The systematic evaluation of k-mer frequency vector cosine distances across patterns and sequence types is the core methodological contribution.</w:t>
      </w:r>
    </w:p>
    <w:p>
      <w:pPr>
        <w:numPr>
          <w:ilvl w:val="0"/>
          <w:numId w:val="1011"/>
        </w:numPr>
      </w:pPr>
      <w:r>
        <w:rPr>
          <w:b/>
          <w:bCs/>
        </w:rPr>
        <w:t xml:space="preserve">MinHash and k-mer cosine both degrade severely under indels; absolute error remains marginally lower for cosine distances.</w:t>
      </w:r>
      <w:r>
        <w:t xml:space="preserve"> </w:t>
      </w:r>
      <w:r>
        <w:t xml:space="preserve">On indel-rich data, Mash (MinHash Jaccard, 30 seeds) produces trees with nRF=0.762 ± 0.036, while k-mer cosine degrades to nRF=0.742 ± 0.045 (both vs true tree). Relative degradation is comparable (1.93× vs 1.97× from clean baselines). The mechanistic asymmetry — MinHash sketches discard positional information entirely while frequency vectors retain distributional signal — is a plausible explanation for the small absolute gap, but the practical difference at this indel rate is minor.</w:t>
      </w:r>
    </w:p>
    <w:p>
      <w:pPr>
        <w:numPr>
          <w:ilvl w:val="0"/>
          <w:numId w:val="1011"/>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both degrade severely (0.762 vs 0.742).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9"/>
    <w:bookmarkStart w:id="50" w:name="X56fcd3a65d07c693b7b2ee88f3cee6d3a33fdfc"/>
    <w:p>
      <w:pPr>
        <w:pStyle w:val="Heading3"/>
      </w:pPr>
      <w:r>
        <w:rPr>
          <w:color w:val="000000"/>
        </w:rPr>
        <w:t xml:space="preserve">From Fusang v1 to Tardigrade Edition: an architectural evolution</w:t>
      </w:r>
    </w:p>
    <w:p>
      <w:pPr>
        <w:pStyle w:val="FirstParagraph"/>
      </w:pPr>
      <w:r>
        <w:t xml:space="preserve">The Fusang lineage illustrates a methodological evolution from specialized to general-purpose phylogenetic inference. Our v1 [6]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hypothesized robustness from spaced sampling (empirically modest at indel rate 0.02; see Results)</w:t>
      </w:r>
    </w:p>
    <w:p>
      <w:pPr>
        <w:pStyle w:val="BodyText"/>
      </w:pPr>
      <w:r>
        <w:t xml:space="preserve">This evolution demonstrates that feature engineering — specifically,</w:t>
      </w:r>
      <w:r>
        <w:t xml:space="preserve"> </w:t>
      </w:r>
      <w:r>
        <w:rPr>
          <w:b/>
          <w:bCs/>
        </w:rPr>
        <w:t xml:space="preserve">k-mer frequency vector cosine distances</w:t>
      </w:r>
      <w:r>
        <w:t xml:space="preserve"> </w:t>
      </w:r>
      <w:r>
        <w:t xml:space="preserve">— can match or exceed learned representations for phylogenetic inference while providing order-of-magnitude improvements in speed, scalability, and accessibility. The key insight is that k-mer frequency vectors with cosine distance preserve sufficient phylogenetic signal for accurate distance-based tree inference, while spaced sampling is hypothesized to provide additional robustness against indel-induced length variation (an advantage that is empirically modest at the tested indel rate).</w:t>
      </w:r>
    </w:p>
    <w:bookmarkEnd w:id="50"/>
    <w:bookmarkStart w:id="51" w:name="X4e6a5510e617632401e8c9b8c6bcae7cb874e4b"/>
    <w:p>
      <w:pPr>
        <w:pStyle w:val="Heading3"/>
      </w:pPr>
      <w:r>
        <w:rPr>
          <w:color w:val="000000"/>
        </w:rP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51"/>
    <w:bookmarkStart w:id="52" w:name="limitations-and-future-work"/>
    <w:p>
      <w:pPr>
        <w:pStyle w:val="Heading3"/>
      </w:pPr>
      <w:r>
        <w:rPr>
          <w:color w:val="000000"/>
        </w:rP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0.011 vs FastTree2 nRF=0.093 ± 0.013 (Cohen’s d=1.77, Wilcoxon p&lt;0.001). At n=1000, the gap widens: Fusang nRF=0.115 ± 0.011 vs FastTree2 nRF=0.091 ± 0.010 (Cohen’s d=2.81,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 We note that the n=1000 threshold was derived from the DCM degradation analysis at n=200 and from scalability timings; a direct accuracy comparison between the simplified and DCM pipelines in the n=500–1000 transition zone has not been performed.</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10) provides additional cross-domain validation: k-mer frequency methods achieve mean nRF=0.239 on real protein gene trees (11 families, 29–159 taxa; median alignment gap content 50%, range 11–81%), while Co-phylog’s best configuration (halfctx=11) achieves nRF=0.361 (paired Wilcoxon p=0.006, Cohen’s d=1.32 vs Fusang k=4,gap1) and its default (halfctx=5) achieves nRF=0.433 (p=0.014, d=1.08) — confirming that k-mer approaches transfer robustly from simulated DNA to real, strongly indel-rich protein data. On BAliBASE v3.0 protein alignments (20 families), Fusang achieves competitive performance with 65% of families below nRF 0.5 (median nRF=0.45; Supplementary Table S7). Real genome-scale validation on AFproject community datasets (Table 12) shows the multi-k ensemble reaching the community-benchmark ceiling on deep-divergence indel-rich mitochondrial genomes (nRF=0.045, matched by all top methods), but also delineates a boundary: on shallow-divergence E. coli/Shigella genomes where recombination and gene flux dominate, k-mer cosine (nRF=0.50) is outperformed by Mash (0.12–0.21) and anchor-based methods (published 0.08). A remaining gap is real DNA data at gene length (500–1,000 bp) with documented indel evolution and trusted trees — our real validations span protein families (109–1,707 aa), mitochondrial genomes (~17 kb), and bacterial genomes (~4.6 Mb), but not the gene-length DNA regime of the simulation benchmarks; candidate data types for closing this gap include viral quasispecies collections and rapidly evolving gene families with curated reference trees.</w:t>
      </w:r>
    </w:p>
    <w:p>
      <w:pPr>
        <w:pStyle w:val="BodyText"/>
      </w:pPr>
      <w:r>
        <w:rPr>
          <w:b/>
          <w:bCs/>
        </w:rPr>
        <w:t xml:space="preserve">Fixed k and gap</w:t>
      </w:r>
      <w:r>
        <w:t xml:space="preserve">: The current implementation uses a static k and gap for the entire dataset. The multi-k distance ensemble (Table 4)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protocol and portability</w:t>
      </w:r>
      <w:r>
        <w:t xml:space="preserve">: The definitive L3 (MAFFT+FastTree2) comparison is now based on a complete 30-seed run executed on Linux (WSL2 Ubuntu-24.04) with an explicitly nucleotide FastTree2 protocol (</w:t>
      </w:r>
      <w:r>
        <w:rPr>
          <w:rStyle w:val="VerbatimChar"/>
        </w:rPr>
        <w:t xml:space="preserve">-nt -gtr -nosupport</w:t>
      </w:r>
      <w:r>
        <w:t xml:space="preserve">); an earlier 5-seed Windows run was affected both by MAFFT instability (empty alignments on 25/30 seeds) and by an inadvertently omitted</w:t>
      </w:r>
      <w:r>
        <w:t xml:space="preserve"> </w:t>
      </w:r>
      <w:r>
        <w:rPr>
          <w:rStyle w:val="VerbatimChar"/>
        </w:rPr>
        <w:t xml:space="preserve">-nt</w:t>
      </w:r>
      <w:r>
        <w:t xml:space="preserve"> </w:t>
      </w:r>
      <w:r>
        <w:t xml:space="preserve">flag (protein-mode distance settings on DNA input), and is superseded (Supplementary Note S8). Both L1 (nRF=0.583) and L3 (nRF=0.601) remain substantially distant from the true tree under this deliberately harsh coalescent protocol (~58–60% bipartition error). The Linux requirement itself is a practical portability constraint: native-Windows MAFFT proved unreliable at this scale.</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10)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 A systematic feature ablation study quantifying each feature group’s causal contribution to classification accuracy remains future work.</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the FastTree2 reference, indicating high topological similarity to the alignment-based reconstruction at scale (FT2-relative; TRUE-relative accuracy is unavailable at this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head-to-head comparison with four classical alignment-free methods — andi [25], Co-phylog [26], kmacs [12], and Skmer [29] — across simulated DNA (Table 7, 27 seeds, seed set 100–126) and real protein data (Table 10, AFproject SwissTree, 11 gene families). K-mer frequency methods consistently outperform the alternatives: Co-phylog’s context-matching approach fails under indels (DNA nRF=0.408, 3.8× worse than Fusang, paired d=11.91) and on protein data (best config halfctx=11 nRF=0.361 vs Fusang nRF=0.239, d=1.32, p=0.006); kmacs (best of k∈{3,5,10}) is significantly less accurate under indels (nRF=0.177 vs Fusang 0.108, p=5.6×10⁻⁶, paired d=2.54); while andi (suffix-array anchors) and Skmer (genome-skim coverage model, division-by-zero on 500-bp inputs at k=31 and k=21) are structurally inapplicable to gene-length sequences by design. We note that Co-phylog was tested at k=19 with default half-context on DNA; a systematic scan across parameter space may reveal configurations where Co-phylog performs better, though its fundamental reliance on context-matching makes it intrinsically vulnerable to indels. These results position k-mer frequency vectors with cosine distance as among the most robust alignment-free approaches for gene-length phylogenetic inference across sequence types. Two method families remain untested — FFP [31], which pioneered feature frequency profiles for whole-genome comparison, and the broader spaced-word frequency family [13] (both were outside the scope of the current benchmark harness); systematic comparison under indel-rich conditions represents future work.</w:t>
      </w:r>
    </w:p>
    <w:p>
      <w:pPr>
        <w:pStyle w:val="BodyText"/>
      </w:pPr>
      <w:r>
        <w:t xml:space="preserve">Future work will explore: (1) optimized k-mer sets and fusion weights for the multi-k ensemble, potentially including spaced k-mers in the ensemble and length-aware k selection; (2) validation on real gene-length DNA families with documented indel evolution and trusted trees, extending the real-data validation beyond protein families, mitochondrial and bacterial genomes;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2"/>
    <w:bookmarkStart w:id="53" w:name="practical-recommendations"/>
    <w:p>
      <w:pPr>
        <w:pStyle w:val="Heading3"/>
      </w:pPr>
      <w:r>
        <w:rPr>
          <w:color w:val="000000"/>
        </w:rP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On the full 30-seed coalescent benchmark the ensemble outperforms MAFFT+FastTree2 (nRF=0.583±0.044 vs 0.601±0.055, paired Wilcoxon p=0.024) while requiring no alignment step (~2× faster per seed). Both L1 and L3 remain substantially distant from the true tree under this deliberately harsh protocol (nRF≈0.58–0.60), so outputs should be treated as rapid first-pass topologies.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Deep-divergence genome-scale data (organelle genomes, divergent gene families)</w:t>
      </w:r>
      <w:r>
        <w:t xml:space="preserve">: The multi-k cosine ensemble reaches the community-benchmark ceiling on real mitochondrial genomes (Table 12; nRF=0.045, matched by MSA+ML and all top published methods) without alignment and without k selection; the gene-scale default k=5 saturates at genome length — use the multi-k ensemble (</w:t>
      </w:r>
      <w:r>
        <w:rPr>
          <w:rStyle w:val="VerbatimChar"/>
        </w:rPr>
        <w:t xml:space="preserve">--v3</w:t>
      </w:r>
      <w:r>
        <w:t xml:space="preserve">) instead of any single small k</w:t>
      </w:r>
      <w:r>
        <w:t xml:space="preserve"> </w:t>
      </w:r>
      <w:r>
        <w:t xml:space="preserve">-</w:t>
      </w:r>
      <w:r>
        <w:t xml:space="preserve"> </w:t>
      </w:r>
      <w:r>
        <w:rPr>
          <w:b/>
          <w:bCs/>
        </w:rPr>
        <w:t xml:space="preserve">Shallow strain-level divergence (recombination-dominated)</w:t>
      </w:r>
      <w:r>
        <w:t xml:space="preserve">: For within-species bacterial collections, anchor-based methods (andi, Co-phylog, kmacs) or Mash are better suited than k-mer cosine distances (Table 12)</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degrade severely (nRF≈0.76, ~76% bipartition error on gene-length sequences) and should be avoided for this data type.</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3"/>
    <w:bookmarkEnd w:id="54"/>
    <w:bookmarkStart w:id="55" w:name="supplementary-material"/>
    <w:p>
      <w:pPr>
        <w:pStyle w:val="Heading2"/>
      </w:pPr>
      <w:r>
        <w:rPr>
          <w:color w:val="000000"/>
        </w:rP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kmacs (k=3,5,10), k-mer cosine (k=5, k=7 contiguous), Fusang (k=5,gap2 spaced), and the multi-k ensemble on n=200 indel data (27 seeds, seed set 100–126; FT2-relative and TRUE-relative).</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L=1000 bp, indel=0.02, 30 seeds, all levels complete). L3 executed on Linux (WSL2 Ubuntu-24.04, MAFFT –auto + FastTree2 -nt -gtr -nosupport); supersedes the earlier 5-seed Windows run (Supplementary Note S8).</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Table S16.</w:t>
      </w:r>
      <w:r>
        <w:t xml:space="preserve"> </w:t>
      </w:r>
      <w:r>
        <w:t xml:space="preserve">Real genome benchmarks (AFproject community datasets): complete per-method results for fish mtDNA (25 mitochondrial genomes, Fischer et al. 2013 reference tree) and E. coli/Shigella (27 genomes, Skippington &amp; Ragan 2011 reference tree), including NCBI accessions, k-scan results, multi-k variants, kmacs/Mash/Co-phylog runs at working and AFproject-published configurations, MAFFT+FastTree2 (fish), alignment gap-content quantification, and SwissTree per-family gap fractions; ETE3 unrooted nRF scoring.</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Note S8.</w:t>
      </w:r>
      <w:r>
        <w:t xml:space="preserve"> </w:t>
      </w:r>
      <w:r>
        <w:t xml:space="preserve">L3 validation methodology: coalescent protocol parameters (n=200, L=1000 bp, sub=0.05, indel=0.02, identical for the superseded 5-seed run and the 30-seed rerun), MAFFT+FastTree2 configuration (Linux rerun with corrected nucleotide protocol</w:t>
      </w:r>
      <w:r>
        <w:t xml:space="preserve"> </w:t>
      </w:r>
      <w:r>
        <w:rPr>
          <w:rStyle w:val="VerbatimChar"/>
        </w:rPr>
        <w:t xml:space="preserve">-nt -gtr -nosupport</w:t>
      </w:r>
      <w:r>
        <w:t xml:space="preserve">), true tree generation, Windows MAFFT instability analysis, and supersession of the earlier 5-seed Windows run (which omitted the -nt nucleotide flag).</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5"/>
    <w:bookmarkStart w:id="56" w:name="data-availability"/>
    <w:p>
      <w:pPr>
        <w:pStyle w:val="Heading2"/>
      </w:pPr>
      <w:r>
        <w:rPr>
          <w:color w:val="000000"/>
        </w:rP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2"/>
        </w:numPr>
      </w:pPr>
      <w:r>
        <w:rPr>
          <w:b/>
          <w:bCs/>
        </w:rPr>
        <w:t xml:space="preserve">GitHub</w:t>
      </w:r>
      <w:r>
        <w:t xml:space="preserve">: https://github.com/fusang-dev/fusang-tardigrade</w:t>
      </w:r>
    </w:p>
    <w:p>
      <w:pPr>
        <w:pStyle w:val="Compact"/>
        <w:numPr>
          <w:ilvl w:val="0"/>
          <w:numId w:val="1012"/>
        </w:numPr>
      </w:pPr>
      <w:r>
        <w:rPr>
          <w:b/>
          <w:bCs/>
        </w:rPr>
        <w:t xml:space="preserve">Zenodo</w:t>
      </w:r>
      <w:r>
        <w:t xml:space="preserve">: https://doi.org/10.5281/zenodo.20746742 (archived source code, benchmark datasets, and supplementary materials)</w:t>
      </w:r>
    </w:p>
    <w:p>
      <w:pPr>
        <w:pStyle w:val="FirstParagraph"/>
      </w:pPr>
      <w:r>
        <w:t xml:space="preserve">All benchmark datasets — including 130-seed n=200 indel benchmark results, n=500 and n=1000 multi-seed data, 30-seed L3 pipeline validation (Linux), Mash benchmark, kmacs and Skmer competitor benchmarks (including the Skmer inapplicability record), AFproject real genome benchmarks (fish mtDNA and E. coli/Shigella, with NCBI accessions and full per-method results),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A storage-corruption incident affected 21 competitor-benchmark input files (5 FASTA and 16 tree files, seeds 109–126); recovery proceeded via three independent validated paths (reconstruction from intact aligned FASTA, deterministic regeneration from the seeded simulation code — regenerated files validated byte-identical across the independent recovery paths — and FastTree2 reruns on intact alignments). All affected tables were recomputed: 53/54 affected per-seed nRF values match the pre-incident master CSV (one FastTree2 value differs by two bipartitions, 0.0787→0.0838). Corrupted originals are quarantined, and the recovery log with checksums is documented in the reproducibility package. INDELible simulation configuration files are included for full reproducibility.</w:t>
      </w:r>
    </w:p>
    <w:p>
      <w:pPr>
        <w:pStyle w:val="BodyText"/>
      </w:pPr>
      <w:r>
        <w:t xml:space="preserve">The Fusang v1 NAR 2023 cover article [6]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6"/>
    <w:bookmarkStart w:id="57" w:name="funding"/>
    <w:p>
      <w:pPr>
        <w:pStyle w:val="Heading2"/>
      </w:pPr>
      <w:r>
        <w:rPr>
          <w:color w:val="000000"/>
        </w:rP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7"/>
    <w:bookmarkStart w:id="58" w:name="competing-interests"/>
    <w:p>
      <w:pPr>
        <w:pStyle w:val="Heading2"/>
      </w:pPr>
      <w:r>
        <w:rPr>
          <w:color w:val="000000"/>
        </w:rPr>
        <w:t xml:space="preserve">COMPETING INTERESTS</w:t>
      </w:r>
    </w:p>
    <w:p>
      <w:pPr>
        <w:pStyle w:val="FirstParagraph"/>
      </w:pPr>
      <w:r>
        <w:t xml:space="preserve">The authors declare no competing interests.</w:t>
      </w:r>
    </w:p>
    <w:p>
      <w:r>
        <w:pict>
          <v:rect style="width:0;height:1.5pt" o:hralign="center" o:hrstd="t" o:hr="t"/>
        </w:pict>
      </w:r>
    </w:p>
    <w:bookmarkEnd w:id="58"/>
    <w:bookmarkStart w:id="59" w:name="acknowledgements"/>
    <w:p>
      <w:pPr>
        <w:pStyle w:val="Heading2"/>
      </w:pPr>
      <w:r>
        <w:rPr>
          <w:color w:val="000000"/>
        </w:rP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9"/>
    <w:bookmarkStart w:id="60" w:name="author-contributions"/>
    <w:p>
      <w:pPr>
        <w:pStyle w:val="Heading2"/>
      </w:pPr>
      <w:r>
        <w:rPr>
          <w:color w:val="000000"/>
        </w:rP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60"/>
    <w:bookmarkStart w:id="61" w:name="corresponding-author"/>
    <w:p>
      <w:pPr>
        <w:pStyle w:val="Heading2"/>
      </w:pPr>
      <w:r>
        <w:rPr>
          <w:color w:val="000000"/>
        </w:rP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61"/>
    <w:bookmarkStart w:id="62" w:name="references"/>
    <w:p>
      <w:pPr>
        <w:pStyle w:val="Heading2"/>
      </w:pPr>
      <w:r>
        <w:rPr>
          <w:color w:val="000000"/>
        </w:rPr>
        <w:t xml:space="preserve">REFERENCES</w:t>
      </w:r>
    </w:p>
    <w:p>
      <w:pPr>
        <w:numPr>
          <w:ilvl w:val="0"/>
          <w:numId w:val="1013"/>
        </w:numPr>
      </w:pPr>
      <w:r>
        <w:t xml:space="preserve">Hadfield, J., Megill, C., Bell, S.M., Huddleston, J., Potter, B., Callender, C., Sagulenko, P., Bedford, T. and Neher, R.A. (2018) Nextstrain: real-time tracking of pathogen evolution.</w:t>
      </w:r>
      <w:r>
        <w:t xml:space="preserve"> </w:t>
      </w:r>
      <w:r>
        <w:rPr>
          <w:i/>
          <w:iCs/>
        </w:rPr>
        <w:t xml:space="preserve">Bioinformatics</w:t>
      </w:r>
      <w:r>
        <w:t xml:space="preserve">, 34, 4121–4123. DOI: 10.1093/bioinformatics/bty407</w:t>
      </w:r>
    </w:p>
    <w:p>
      <w:pPr>
        <w:numPr>
          <w:ilvl w:val="0"/>
          <w:numId w:val="1013"/>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3"/>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3"/>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3"/>
        </w:numPr>
      </w:pPr>
      <w:r>
        <w:t xml:space="preserve">Wong, K.M., Suchard, M.A. and Huelsenbeck, J.P. (2008) Alignment uncertainty and genomic analysis.</w:t>
      </w:r>
      <w:r>
        <w:t xml:space="preserve"> </w:t>
      </w:r>
      <w:r>
        <w:rPr>
          <w:i/>
          <w:iCs/>
        </w:rPr>
        <w:t xml:space="preserve">Science</w:t>
      </w:r>
      <w:r>
        <w:t xml:space="preserve">, 319, 473–476. DOI: 10.1126/science.1151532</w:t>
      </w:r>
    </w:p>
    <w:p>
      <w:pPr>
        <w:numPr>
          <w:ilvl w:val="0"/>
          <w:numId w:val="1013"/>
        </w:numPr>
      </w:pPr>
      <w:r>
        <w:t xml:space="preserve">Wang, Z., Sun, J., Gao, Y., Xue, Y., Zhang, Y., Li, K., Zhang, W., Zhang, C., Zu, J. and Zhang, L. (2023) Fusang: a framework for phylogenetic tree inference via deep learning.</w:t>
      </w:r>
      <w:r>
        <w:t xml:space="preserve"> </w:t>
      </w:r>
      <w:r>
        <w:rPr>
          <w:i/>
          <w:iCs/>
        </w:rPr>
        <w:t xml:space="preserve">Nucleic Acids Res.</w:t>
      </w:r>
      <w:r>
        <w:t xml:space="preserve">, 51, 10909–10923. DOI: 10.1093/nar/gkad805</w:t>
      </w:r>
    </w:p>
    <w:p>
      <w:pPr>
        <w:numPr>
          <w:ilvl w:val="0"/>
          <w:numId w:val="1013"/>
        </w:numPr>
      </w:pPr>
      <w:r>
        <w:t xml:space="preserve">Morgenstern, B., Zhu, B., Horwege, S. and Leimeister, C.-A.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3"/>
        </w:numPr>
      </w:pPr>
      <w:r>
        <w:t xml:space="preserve">Diaz, N.N., Krause, L., Goesmann, A., Niehaus, K. and Nattkemper, T.W. (2009) TACOA: taxonomic classification of environmental genomic fragments using a kernelized nearest neighbor approach.</w:t>
      </w:r>
      <w:r>
        <w:t xml:space="preserve"> </w:t>
      </w:r>
      <w:r>
        <w:rPr>
          <w:i/>
          <w:iCs/>
        </w:rPr>
        <w:t xml:space="preserve">BMC Bioinformatics</w:t>
      </w:r>
      <w:r>
        <w:t xml:space="preserve">, 10, 56. DOI: 10.1186/1471-2105-10-56</w:t>
      </w:r>
    </w:p>
    <w:p>
      <w:pPr>
        <w:numPr>
          <w:ilvl w:val="0"/>
          <w:numId w:val="1013"/>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3"/>
        </w:numPr>
      </w:pPr>
      <w:r>
        <w:t xml:space="preserve">Zielezinski, A., Vinga, S., Almeida, J. and Karlowski, W.M. (2017) Alignment-free sequence comparison: benefits, applications, and tools.</w:t>
      </w:r>
      <w:r>
        <w:t xml:space="preserve"> </w:t>
      </w:r>
      <w:r>
        <w:rPr>
          <w:i/>
          <w:iCs/>
        </w:rPr>
        <w:t xml:space="preserve">Genome Biol.</w:t>
      </w:r>
      <w:r>
        <w:t xml:space="preserve">, 18, 186. DOI: 10.1186/s13059-017-1319-7</w:t>
      </w:r>
    </w:p>
    <w:p>
      <w:pPr>
        <w:numPr>
          <w:ilvl w:val="0"/>
          <w:numId w:val="1013"/>
        </w:numPr>
      </w:pPr>
      <w:r>
        <w:t xml:space="preserve">Bernard, G., Chan, C.X., Chan, Y.-b., Chua, X.Y., Cong, Y., Hogan, J.M., Maetschke, S.R. and Ragan, M.A. (2019) Alignment-free inference of hierarchical and reticulate phylogenomic relationships.</w:t>
      </w:r>
      <w:r>
        <w:t xml:space="preserve"> </w:t>
      </w:r>
      <w:r>
        <w:rPr>
          <w:i/>
          <w:iCs/>
        </w:rPr>
        <w:t xml:space="preserve">Brief. Bioinform.</w:t>
      </w:r>
      <w:r>
        <w:t xml:space="preserve">, 20, 426–435. DOI: 10.1093/bib/bbx067</w:t>
      </w:r>
    </w:p>
    <w:p>
      <w:pPr>
        <w:numPr>
          <w:ilvl w:val="0"/>
          <w:numId w:val="1013"/>
        </w:numPr>
      </w:pPr>
      <w:r>
        <w:t xml:space="preserve">Leimeister, C.-A. and Morgenstern, B. (2014) kmacs: the k-mismatch average common substring approach to alignment-free sequence comparison.</w:t>
      </w:r>
      <w:r>
        <w:t xml:space="preserve"> </w:t>
      </w:r>
      <w:r>
        <w:rPr>
          <w:i/>
          <w:iCs/>
        </w:rPr>
        <w:t xml:space="preserve">Bioinformatics</w:t>
      </w:r>
      <w:r>
        <w:t xml:space="preserve">, 30, 2000–2008. DOI: 10.1093/bioinformatics/btu331</w:t>
      </w:r>
    </w:p>
    <w:p>
      <w:pPr>
        <w:numPr>
          <w:ilvl w:val="0"/>
          <w:numId w:val="1013"/>
        </w:numPr>
      </w:pPr>
      <w:r>
        <w:t xml:space="preserve">Leimeister, C.-A., Boden, M., Horwege, S., Lindner, S. and Morgenstern, B. (2014) Fast alignment-free sequence comparison using spaced-word frequencies.</w:t>
      </w:r>
      <w:r>
        <w:t xml:space="preserve"> </w:t>
      </w:r>
      <w:r>
        <w:rPr>
          <w:i/>
          <w:iCs/>
        </w:rPr>
        <w:t xml:space="preserve">Bioinformatics</w:t>
      </w:r>
      <w:r>
        <w:t xml:space="preserve">, 30, 1991–1999. DOI: 10.1093/bioinformatics/btu177</w:t>
      </w:r>
    </w:p>
    <w:p>
      <w:pPr>
        <w:numPr>
          <w:ilvl w:val="0"/>
          <w:numId w:val="1013"/>
        </w:numPr>
      </w:pPr>
      <w:r>
        <w:t xml:space="preserve">Zielezinski, A. et al. (2019) Benchmarking of alignment-free sequence comparison methods.</w:t>
      </w:r>
      <w:r>
        <w:t xml:space="preserve"> </w:t>
      </w:r>
      <w:r>
        <w:rPr>
          <w:i/>
          <w:iCs/>
        </w:rPr>
        <w:t xml:space="preserve">Genome Biol.</w:t>
      </w:r>
      <w:r>
        <w:t xml:space="preserve">, 20, 144. DOI: 10.1186/s13059-019-1755-7</w:t>
      </w:r>
    </w:p>
    <w:p>
      <w:pPr>
        <w:numPr>
          <w:ilvl w:val="0"/>
          <w:numId w:val="1013"/>
        </w:numPr>
      </w:pPr>
      <w:r>
        <w:t xml:space="preserve">Huson, D.H., Nettles, S.M. and Warnow, T.J.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3"/>
        </w:numPr>
      </w:pPr>
      <w:r>
        <w:t xml:space="preserve">Berger, S.A., Krompass, D. and Stamatakis, A.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3"/>
        </w:numPr>
      </w:pPr>
      <w:r>
        <w:t xml:space="preserve">Lefort, V., Desper, R. and Gascuel, O.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3"/>
        </w:numPr>
      </w:pPr>
      <w:r>
        <w:t xml:space="preserve">Gascuel, O. (1997) BIONJ: an improved version of the NJ algorithm based on a simple model of sequence data.</w:t>
      </w:r>
      <w:r>
        <w:t xml:space="preserve"> </w:t>
      </w:r>
      <w:r>
        <w:rPr>
          <w:i/>
          <w:iCs/>
        </w:rPr>
        <w:t xml:space="preserve">Mol. Biol. Evol.</w:t>
      </w:r>
      <w:r>
        <w:t xml:space="preserve">, 14, 685–695. DOI: 10.1093/oxfordjournals.molbev.a025808</w:t>
      </w:r>
    </w:p>
    <w:p>
      <w:pPr>
        <w:numPr>
          <w:ilvl w:val="0"/>
          <w:numId w:val="1013"/>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3"/>
        </w:numPr>
      </w:pPr>
      <w:r>
        <w:t xml:space="preserve">Price, M.N., Dehal, P.S. and Arkin, A.P. (2010) FastTree 2 — approximately maximum-likelihood trees for large alignments.</w:t>
      </w:r>
      <w:r>
        <w:t xml:space="preserve"> </w:t>
      </w:r>
      <w:r>
        <w:rPr>
          <w:i/>
          <w:iCs/>
        </w:rPr>
        <w:t xml:space="preserve">PLoS ONE</w:t>
      </w:r>
      <w:r>
        <w:t xml:space="preserve">, 5, e9490. DOI: 10.1371/journal.pone.0009490</w:t>
      </w:r>
    </w:p>
    <w:p>
      <w:pPr>
        <w:numPr>
          <w:ilvl w:val="0"/>
          <w:numId w:val="1013"/>
        </w:numPr>
      </w:pPr>
      <w:r>
        <w:t xml:space="preserve">Katoh, K. and Standley, D.M. (2013) MAFFT multiple sequence alignment software version 7: improvements in performance and versatility.</w:t>
      </w:r>
      <w:r>
        <w:t xml:space="preserve"> </w:t>
      </w:r>
      <w:r>
        <w:rPr>
          <w:i/>
          <w:iCs/>
        </w:rPr>
        <w:t xml:space="preserve">Mol. Biol. Evol.</w:t>
      </w:r>
      <w:r>
        <w:t xml:space="preserve">, 30, 772–780. DOI: 10.1093/molbev/mst010</w:t>
      </w:r>
    </w:p>
    <w:p>
      <w:pPr>
        <w:numPr>
          <w:ilvl w:val="0"/>
          <w:numId w:val="1013"/>
        </w:numPr>
      </w:pPr>
      <w:r>
        <w:t xml:space="preserve">Kozlov, A.M., Darriba, D., Flouri, T., Morel, B. and Stamatakis, A.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3"/>
        </w:numPr>
      </w:pPr>
      <w:r>
        <w:t xml:space="preserve">Minh, B.Q., Schmidt, H.A., Chernomor, O., Schrempf, D., Woodhams, M.D., von Haeseler, A. and Lanfear, R.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3"/>
        </w:numPr>
      </w:pPr>
      <w:r>
        <w:t xml:space="preserve">Ondov, B.D., Treangen, T.J., Melsted, P., Mallonee, A.B., Bergman, N.H., Koren, S. and Phillippy, A.M. (2016) Mash: fast genome and metagenome distance estimation using MinHash.</w:t>
      </w:r>
      <w:r>
        <w:t xml:space="preserve"> </w:t>
      </w:r>
      <w:r>
        <w:rPr>
          <w:i/>
          <w:iCs/>
        </w:rPr>
        <w:t xml:space="preserve">Genome Biol.</w:t>
      </w:r>
      <w:r>
        <w:t xml:space="preserve">, 17, 132. DOI: 10.1186/s13059-016-0997-x</w:t>
      </w:r>
    </w:p>
    <w:p>
      <w:pPr>
        <w:numPr>
          <w:ilvl w:val="0"/>
          <w:numId w:val="1013"/>
        </w:numPr>
      </w:pPr>
      <w:r>
        <w:t xml:space="preserve">Haubold, B., Klötzl, F. and Pfaffelhuber, P. (2015) andi: Fast and accurate estimation of evolutionary distances between closely related genomes.</w:t>
      </w:r>
      <w:r>
        <w:t xml:space="preserve"> </w:t>
      </w:r>
      <w:r>
        <w:rPr>
          <w:i/>
          <w:iCs/>
        </w:rPr>
        <w:t xml:space="preserve">Bioinformatics</w:t>
      </w:r>
      <w:r>
        <w:t xml:space="preserve">, 31, 1169–1175. DOI: 10.1093/bioinformatics/btu815</w:t>
      </w:r>
    </w:p>
    <w:p>
      <w:pPr>
        <w:numPr>
          <w:ilvl w:val="0"/>
          <w:numId w:val="1013"/>
        </w:numPr>
      </w:pPr>
      <w:r>
        <w:t xml:space="preserve">Yi, H. and Jin, L. (2013) Co-phylog: an assembly-free phylogenomic approach for closely related organisms.</w:t>
      </w:r>
      <w:r>
        <w:t xml:space="preserve"> </w:t>
      </w:r>
      <w:r>
        <w:rPr>
          <w:i/>
          <w:iCs/>
        </w:rPr>
        <w:t xml:space="preserve">Nucleic Acids Res.</w:t>
      </w:r>
      <w:r>
        <w:t xml:space="preserve">, 41, e75. DOI: 10.1093/nar/gkt003</w:t>
      </w:r>
    </w:p>
    <w:p>
      <w:pPr>
        <w:numPr>
          <w:ilvl w:val="0"/>
          <w:numId w:val="1013"/>
        </w:numPr>
      </w:pPr>
      <w:r>
        <w:t xml:space="preserve">Lunter, G., Miklós, I., Drummond, A., Jensen, J.L. and Hein, J. (2005) Bayesian coestimation of phylogeny and sequence alignment.</w:t>
      </w:r>
      <w:r>
        <w:t xml:space="preserve"> </w:t>
      </w:r>
      <w:r>
        <w:rPr>
          <w:i/>
          <w:iCs/>
        </w:rPr>
        <w:t xml:space="preserve">BMC Bioinformatics</w:t>
      </w:r>
      <w:r>
        <w:t xml:space="preserve">, 6, 83. DOI: 10.1186/1471-2105-6-83</w:t>
      </w:r>
    </w:p>
    <w:p>
      <w:pPr>
        <w:numPr>
          <w:ilvl w:val="0"/>
          <w:numId w:val="1013"/>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3"/>
        </w:numPr>
      </w:pPr>
      <w:r>
        <w:t xml:space="preserve">Sarmashghi, S., Bohmann, K., Gilbert, M.T.P., Bafna, V. and Mirarab, S. (2019) Skmer: assembly-free and alignment-free sample identification using genome skims.</w:t>
      </w:r>
      <w:r>
        <w:t xml:space="preserve"> </w:t>
      </w:r>
      <w:r>
        <w:rPr>
          <w:i/>
          <w:iCs/>
        </w:rPr>
        <w:t xml:space="preserve">Genome Biol.</w:t>
      </w:r>
      <w:r>
        <w:t xml:space="preserve">, 20, 34. DOI: 10.1186/s13059-019-1632-4</w:t>
      </w:r>
    </w:p>
    <w:p>
      <w:pPr>
        <w:numPr>
          <w:ilvl w:val="0"/>
          <w:numId w:val="1013"/>
        </w:numPr>
      </w:pPr>
      <w:r>
        <w:t xml:space="preserve">Ma, B., Tromp, J. and Li, M. (2002) PatternHunter: faster and more sensitive homology search.</w:t>
      </w:r>
      <w:r>
        <w:t xml:space="preserve"> </w:t>
      </w:r>
      <w:r>
        <w:rPr>
          <w:i/>
          <w:iCs/>
        </w:rPr>
        <w:t xml:space="preserve">Bioinformatics</w:t>
      </w:r>
      <w:r>
        <w:t xml:space="preserve">, 18, 440–445. DOI: 10.1093/bioinformatics/18.3.440</w:t>
      </w:r>
    </w:p>
    <w:p>
      <w:pPr>
        <w:numPr>
          <w:ilvl w:val="0"/>
          <w:numId w:val="1013"/>
        </w:numPr>
      </w:pPr>
      <w:r>
        <w:t xml:space="preserve">Sims, G.E., Jun, S.R., Wu, G.A. and Kim, S.H. (2009) Alignment-free genome comparison with feature frequency profiles (FFP) and optimal resolutions.</w:t>
      </w:r>
      <w:r>
        <w:t xml:space="preserve"> </w:t>
      </w:r>
      <w:r>
        <w:rPr>
          <w:i/>
          <w:iCs/>
        </w:rPr>
        <w:t xml:space="preserve">Proc. Natl. Acad. Sci. USA</w:t>
      </w:r>
      <w:r>
        <w:t xml:space="preserve">, 106, 2677–2682. DOI: 10.1073/pnas.0813249106</w:t>
      </w:r>
    </w:p>
    <w:p>
      <w:r>
        <w:pict>
          <v:rect style="width:0;height:1.5pt" o:hralign="center" o:hrstd="t" o:hr="t"/>
        </w:pict>
      </w:r>
    </w:p>
    <w:bookmarkEnd w:id="62"/>
    <w:bookmarkStart w:id="63" w:name="figure-legends"/>
    <w:p>
      <w:pPr>
        <w:pStyle w:val="Heading2"/>
      </w:pPr>
      <w:r>
        <w:rPr>
          <w:color w:val="000000"/>
        </w:rP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13.2%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11,400 words.</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2026-10-09T09:54:47Z</dcterms:created>
  <dcterms:modified xsi:type="dcterms:W3CDTF">2026-10-09T09:54:47Z</dcterms:modified>
</cp:coreProperties>
</file>

<file path=docProps/custom.xml><?xml version="1.0" encoding="utf-8"?>
<Properties xmlns="http://schemas.openxmlformats.org/officeDocument/2006/custom-properties" xmlns:vt="http://schemas.openxmlformats.org/officeDocument/2006/docPropsVTypes"/>
</file>