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Table 1. Accuracy on clean and indel-rich data (L=500 bp, INDELible birth–death trees; 130 seeds for n=200, 30 seeds for n=500/1000).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77"/>
        <w:gridCol w:w="1382"/>
        <w:gridCol w:w="2388"/>
        <w:gridCol w:w="2765"/>
        <w:gridCol w:w="1005"/>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w:t>
            </w:r>
          </w:p>
        </w:tc>
        <w:tc>
          <w:tcPr/>
          <w:p>
            <w:pPr>
              <w:pStyle w:val="Compact"/>
            </w:pPr>
            <w:r>
              <w:t xml:space="preserve">FastTree2 nRF ↓</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0.234 ± 0.035 (k=5,gap2)</w:t>
            </w:r>
          </w:p>
        </w:tc>
        <w:tc>
          <w:tcPr/>
          <w:p>
            <w:pPr>
              <w:pStyle w:val="Compact"/>
            </w:pPr>
            <w:r>
              <w:rPr>
                <w:b/>
                <w:bCs/>
              </w:rPr>
              <w:t xml:space="preserve">0.210 ± 0.034</w:t>
            </w:r>
          </w:p>
        </w:tc>
        <w:tc>
          <w:tcPr/>
          <w:p>
            <w:pPr>
              <w:pStyle w:val="Compact"/>
            </w:pPr>
            <w:r>
              <w:t xml:space="preserve">FT2 (p=2.07×10⁻¹⁴)</w:t>
            </w:r>
          </w:p>
        </w:tc>
      </w:tr>
      <w:tr>
        <w:tc>
          <w:tcPr/>
          <w:p>
            <w:pPr>
              <w:pStyle w:val="Compact"/>
            </w:pPr>
            <w:r>
              <w:t xml:space="preserve">200</w:t>
            </w:r>
          </w:p>
        </w:tc>
        <w:tc>
          <w:tcPr/>
          <w:p>
            <w:pPr>
              <w:pStyle w:val="Compact"/>
            </w:pPr>
            <w:r>
              <w:t xml:space="preserve">Indel (0.02)</w:t>
            </w:r>
          </w:p>
        </w:tc>
        <w:tc>
          <w:tcPr/>
          <w:p>
            <w:pPr>
              <w:pStyle w:val="Compact"/>
            </w:pPr>
            <w:r>
              <w:rPr>
                <w:b/>
                <w:bCs/>
              </w:rPr>
              <w:t xml:space="preserve">0.199 ± 0.030</w:t>
            </w:r>
            <w:r>
              <w:t xml:space="preserve"> </w:t>
            </w:r>
            <w:r>
              <w:t xml:space="preserve">(k=5,gap2)</w:t>
            </w:r>
          </w:p>
        </w:tc>
        <w:tc>
          <w:tcPr/>
          <w:p>
            <w:pPr>
              <w:pStyle w:val="Compact"/>
            </w:pPr>
            <w:r>
              <w:t xml:space="preserve">0.205 ± 0.030</w:t>
            </w:r>
          </w:p>
        </w:tc>
        <w:tc>
          <w:tcPr/>
          <w:p>
            <w:pPr>
              <w:pStyle w:val="Compact"/>
            </w:pPr>
            <w:r>
              <w:t xml:space="preserve">Fusang (p=0.0507, borderline; n.s. at α=0.05)</w:t>
            </w:r>
          </w:p>
        </w:tc>
      </w:tr>
      <w:tr>
        <w:tc>
          <w:tcPr/>
          <w:p>
            <w:pPr>
              <w:pStyle w:val="Compact"/>
            </w:pPr>
            <w:r>
              <w:t xml:space="preserve">500</w:t>
            </w:r>
          </w:p>
        </w:tc>
        <w:tc>
          <w:tcPr/>
          <w:p>
            <w:pPr>
              <w:pStyle w:val="Compact"/>
            </w:pPr>
            <w:r>
              <w:t xml:space="preserve">Clean</w:t>
            </w:r>
          </w:p>
        </w:tc>
        <w:tc>
          <w:tcPr/>
          <w:p>
            <w:pPr>
              <w:pStyle w:val="Compact"/>
            </w:pPr>
            <w:r>
              <w:t xml:space="preserve">0.244 ± 0.019 (k=5,gap2)</w:t>
            </w:r>
          </w:p>
        </w:tc>
        <w:tc>
          <w:tcPr/>
          <w:p>
            <w:pPr>
              <w:pStyle w:val="Compact"/>
            </w:pPr>
            <w:r>
              <w:rPr>
                <w:b/>
                <w:bCs/>
              </w:rPr>
              <w:t xml:space="preserve">0.213 ± 0.017</w:t>
            </w:r>
          </w:p>
        </w:tc>
        <w:tc>
          <w:tcPr/>
          <w:p>
            <w:pPr>
              <w:pStyle w:val="Compact"/>
            </w:pPr>
            <w:r>
              <w:t xml:space="preserve">FT2 (p=1.73×10⁻⁶)</w:t>
            </w:r>
          </w:p>
        </w:tc>
      </w:tr>
      <w:tr>
        <w:tc>
          <w:tcPr/>
          <w:p>
            <w:pPr>
              <w:pStyle w:val="Compact"/>
            </w:pPr>
            <w:r>
              <w:t xml:space="preserve">500</w:t>
            </w:r>
          </w:p>
        </w:tc>
        <w:tc>
          <w:tcPr/>
          <w:p>
            <w:pPr>
              <w:pStyle w:val="Compact"/>
            </w:pPr>
            <w:r>
              <w:t xml:space="preserve">Indel (0.02)</w:t>
            </w:r>
          </w:p>
        </w:tc>
        <w:tc>
          <w:tcPr/>
          <w:p>
            <w:pPr>
              <w:pStyle w:val="Compact"/>
            </w:pPr>
            <w:r>
              <w:t xml:space="preserve">0.208 ± 0.019 (k=5,gap2)</w:t>
            </w:r>
          </w:p>
        </w:tc>
        <w:tc>
          <w:tcPr/>
          <w:p>
            <w:pPr>
              <w:pStyle w:val="Compact"/>
            </w:pPr>
            <w:r>
              <w:t xml:space="preserve">0.209 ± 0.017</w:t>
            </w:r>
          </w:p>
        </w:tc>
        <w:tc>
          <w:tcPr/>
          <w:p>
            <w:pPr>
              <w:pStyle w:val="Compact"/>
            </w:pPr>
            <w:r>
              <w:t xml:space="preserve">Tie (n.s., p=0.294)</w:t>
            </w:r>
          </w:p>
        </w:tc>
      </w:tr>
      <w:tr>
        <w:tc>
          <w:tcPr/>
          <w:p>
            <w:pPr>
              <w:pStyle w:val="Compact"/>
            </w:pPr>
            <w:r>
              <w:t xml:space="preserve">1000</w:t>
            </w:r>
          </w:p>
        </w:tc>
        <w:tc>
          <w:tcPr/>
          <w:p>
            <w:pPr>
              <w:pStyle w:val="Compact"/>
            </w:pPr>
            <w:r>
              <w:t xml:space="preserve">Clean</w:t>
            </w:r>
          </w:p>
        </w:tc>
        <w:tc>
          <w:tcPr/>
          <w:p>
            <w:pPr>
              <w:pStyle w:val="Compact"/>
            </w:pPr>
            <w:r>
              <w:t xml:space="preserve">0.257 ± 0.019 (k=5,gap2)</w:t>
            </w:r>
          </w:p>
        </w:tc>
        <w:tc>
          <w:tcPr/>
          <w:p>
            <w:pPr>
              <w:pStyle w:val="Compact"/>
            </w:pPr>
            <w:r>
              <w:rPr>
                <w:b/>
                <w:bCs/>
              </w:rPr>
              <w:t xml:space="preserve">0.212 ± 0.016</w:t>
            </w:r>
          </w:p>
        </w:tc>
        <w:tc>
          <w:tcPr/>
          <w:p>
            <w:pPr>
              <w:pStyle w:val="Compact"/>
            </w:pPr>
            <w:r>
              <w:t xml:space="preserve">FT2 (p=1.73×10⁻⁶)</w:t>
            </w:r>
          </w:p>
        </w:tc>
      </w:tr>
      <w:tr>
        <w:tc>
          <w:tcPr/>
          <w:p>
            <w:pPr>
              <w:pStyle w:val="Compact"/>
            </w:pPr>
            <w:r>
              <w:t xml:space="preserve">1000</w:t>
            </w:r>
          </w:p>
        </w:tc>
        <w:tc>
          <w:tcPr/>
          <w:p>
            <w:pPr>
              <w:pStyle w:val="Compact"/>
            </w:pPr>
            <w:r>
              <w:t xml:space="preserve">Indel (0.02)</w:t>
            </w:r>
          </w:p>
        </w:tc>
        <w:tc>
          <w:tcPr/>
          <w:p>
            <w:pPr>
              <w:pStyle w:val="Compact"/>
            </w:pPr>
            <w:r>
              <w:t xml:space="preserve">0.226 ± 0.015 (k=5,gap2)</w:t>
            </w:r>
          </w:p>
        </w:tc>
        <w:tc>
          <w:tcPr/>
          <w:p>
            <w:pPr>
              <w:pStyle w:val="Compact"/>
            </w:pPr>
            <w:r>
              <w:rPr>
                <w:b/>
                <w:bCs/>
              </w:rPr>
              <w:t xml:space="preserve">0.212 ± 0.014</w:t>
            </w:r>
          </w:p>
        </w:tc>
        <w:tc>
          <w:tcPr/>
          <w:p>
            <w:pPr>
              <w:pStyle w:val="Compact"/>
            </w:pPr>
            <w:r>
              <w:t xml:space="preserve">FT2 (p=1.54×10⁻⁴)</w:t>
            </w:r>
          </w:p>
        </w:tc>
      </w:tr>
    </w:tbl>
    <w:p>
      <w:pPr>
        <w:pStyle w:val="BodyText"/>
      </w:pPr>
      <w:r>
        <w:t xml:space="preserve">nRF=0: perfect match. Best result in</w:t>
      </w:r>
      <w:r>
        <w:t xml:space="preserve"> </w:t>
      </w:r>
      <w:r>
        <w:rPr>
          <w:b/>
          <w:bCs/>
        </w:rPr>
        <w:t xml:space="preserve">bold</w:t>
      </w:r>
      <w:r>
        <w:t xml:space="preserve">. Values are mean ± standard deviation, computed with the root-independent (unrooted) RF definition given in the Methods. Seed counts differ by condition: 130 seeds for n=200 (clean: seeds 100–229; indel: seeds 100–229), 30 seeds for n=500 and n=1000. All nRF values are TRUE-relative (vs the simulated ground-truth tree).</w:t>
      </w:r>
      <w:r>
        <w:t xml:space="preserve"> </w:t>
      </w:r>
      <w:r>
        <w:t xml:space="preserve">† After Bonferroni correction across the 6 ground-truth datasets (α≈0.008), the significant comparisons are reported in Supplementary Table S8. Note that under the root-independent RF definition used here, the direction of the clean-data comparisons is unchanged (FT2 better) while the n=200 indel comparison is borderline (p=0.0507 on integer RF counts with the zero-split convention; not significant at α=0.05); an earlier metric (</w:t>
      </w:r>
      <w:r>
        <w:rPr>
          <w:rStyle w:val="VerbatimChar"/>
        </w:rPr>
        <w:t xml:space="preserve">calc_nrf_simple.py</w:t>
      </w:r>
      <w:r>
        <w:t xml:space="preserve">) biased comparisons in Fusang’s favour and is no longer used (see Methods).</w:t>
      </w:r>
    </w:p>
    <w:p>
      <w:pPr>
        <w:pStyle w:val="BodyText"/>
      </w:pPr>
      <w:r>
        <w:t xml:space="preserve">Importantly, Fusang achieves this accuracy with</w:t>
      </w:r>
      <w:r>
        <w:t xml:space="preserve"> </w:t>
      </w:r>
      <w:r>
        <w:rPr>
          <w:b/>
          <w:bCs/>
        </w:rPr>
        <w:t xml:space="preserve">zero sequence alignment</w:t>
      </w:r>
      <w:r>
        <w:t xml:space="preserve">, operating directly on raw FASTA sequences. The multi-k ensemble variant (see below) not only matches the best single-k configuration without manual k selection but is, on this benchmark, significantly more accurate than the default spaced+NNI pipeline (0.1940 vs 0.1990, p=0.0077; see the Multi-k section). On clean data at n≥500, MSA-based methods retain a clear advantage (p&lt;0.001 after correction), indicating that full positional information from alignment benefits ML inference when indels are absent.</w:t>
      </w:r>
    </w:p>
    <w:p>
      <w:pPr>
        <w:pStyle w:val="BodyText"/>
      </w:pPr>
      <w:r>
        <w:rPr>
          <w:b/>
          <w:bCs/>
        </w:rPr>
        <w:t xml:space="preserve">Table 2. Spaced k-mer cosine vs MinHash robustness (n=200, L=500 bp, INDELible v1.03, seeds 100–129, 30 seeds; TRUE-relative, standard root-independent unrooted RF).</w:t>
      </w:r>
    </w:p>
    <w:tbl>
      <w:tblPr>
        <w:tblStyle w:val="Table"/>
        <w:tblW w:type="pct" w:w="5000"/>
        <w:tblLayout w:type="fixed"/>
        <w:tblLook w:firstRow="1" w:lastRow="0" w:firstColumn="0" w:lastColumn="0" w:noHBand="0" w:noVBand="0" w:val="0020"/>
      </w:tblPr>
      <w:tblGrid>
        <w:gridCol w:w="2262"/>
        <w:gridCol w:w="1414"/>
        <w:gridCol w:w="1414"/>
        <w:gridCol w:w="1414"/>
        <w:gridCol w:w="1414"/>
      </w:tblGrid>
      <w:tr>
        <w:trPr>
          <w:tblHeader w:val="on"/>
        </w:trPr>
        <w:tc>
          <w:tcPr/>
          <w:p>
            <w:pPr>
              <w:pStyle w:val="Compact"/>
            </w:pPr>
            <w:r>
              <w:t xml:space="preserve">Method</w:t>
            </w:r>
          </w:p>
        </w:tc>
        <w:tc>
          <w:tcPr/>
          <w:p>
            <w:pPr>
              <w:pStyle w:val="Compact"/>
              <w:jc w:val="center"/>
            </w:pPr>
            <w:r>
              <w:t xml:space="preserve">Mean nRF (clean) ↓</w:t>
            </w:r>
          </w:p>
        </w:tc>
        <w:tc>
          <w:tcPr/>
          <w:p>
            <w:pPr>
              <w:pStyle w:val="Compact"/>
              <w:jc w:val="center"/>
            </w:pPr>
            <w:r>
              <w:t xml:space="preserve">Mean nRF (indel 0.02) ↓</w:t>
            </w:r>
          </w:p>
        </w:tc>
        <w:tc>
          <w:tcPr/>
          <w:p>
            <w:pPr>
              <w:pStyle w:val="Compact"/>
              <w:jc w:val="center"/>
            </w:pPr>
            <w:r>
              <w:t xml:space="preserve">n</w:t>
            </w:r>
          </w:p>
        </w:tc>
        <w:tc>
          <w:tcPr/>
          <w:p>
            <w:pPr>
              <w:pStyle w:val="Compact"/>
              <w:jc w:val="center"/>
            </w:pPr>
            <w:r>
              <w:t xml:space="preserve">clean→indel change (per seed)</w:t>
            </w:r>
          </w:p>
        </w:tc>
      </w:tr>
      <w:tr>
        <w:tc>
          <w:tcPr/>
          <w:p>
            <w:pPr>
              <w:pStyle w:val="Compact"/>
            </w:pPr>
            <w:r>
              <w:t xml:space="preserve">Fusang (k=5, gap2 →</w:t>
            </w:r>
            <w:r>
              <w:t xml:space="preserve"> </w:t>
            </w:r>
            <w:r>
              <w:rPr>
                <w:rStyle w:val="VerbatimChar"/>
              </w:rPr>
              <w:t xml:space="preserve">1110011</w:t>
            </w:r>
            <w:r>
              <w:t xml:space="preserve">, cosine, NJ)</w:t>
            </w:r>
          </w:p>
        </w:tc>
        <w:tc>
          <w:tcPr/>
          <w:p>
            <w:pPr>
              <w:pStyle w:val="Compact"/>
              <w:jc w:val="center"/>
            </w:pPr>
            <w:r>
              <w:rPr>
                <w:b/>
                <w:bCs/>
              </w:rPr>
              <w:t xml:space="preserve">0.2364 ± 0.0336</w:t>
            </w:r>
          </w:p>
        </w:tc>
        <w:tc>
          <w:tcPr/>
          <w:p>
            <w:pPr>
              <w:pStyle w:val="Compact"/>
              <w:jc w:val="center"/>
            </w:pPr>
            <w:r>
              <w:rPr>
                <w:b/>
                <w:bCs/>
              </w:rPr>
              <w:t xml:space="preserve">0.1926 ± 0.0272</w:t>
            </w:r>
          </w:p>
        </w:tc>
        <w:tc>
          <w:tcPr/>
          <w:p>
            <w:pPr>
              <w:pStyle w:val="Compact"/>
              <w:jc w:val="center"/>
            </w:pPr>
            <w:r>
              <w:t xml:space="preserve">30</w:t>
            </w:r>
          </w:p>
        </w:tc>
        <w:tc>
          <w:tcPr/>
          <w:p>
            <w:pPr>
              <w:pStyle w:val="Compact"/>
              <w:jc w:val="center"/>
            </w:pPr>
            <w:r>
              <w:rPr>
                <w:b/>
                <w:bCs/>
              </w:rPr>
              <w:t xml:space="preserve">0.827 ± 0.144 (improves, p=6.2×10⁻⁶)</w:t>
            </w:r>
          </w:p>
        </w:tc>
      </w:tr>
      <w:tr>
        <w:tc>
          <w:tcPr/>
          <w:p>
            <w:pPr>
              <w:pStyle w:val="Compact"/>
            </w:pPr>
            <w:r>
              <w:t xml:space="preserve">Mash (MinHash k=21, s=10,000, NJ)</w:t>
            </w:r>
          </w:p>
        </w:tc>
        <w:tc>
          <w:tcPr/>
          <w:p>
            <w:pPr>
              <w:pStyle w:val="Compact"/>
              <w:jc w:val="center"/>
            </w:pPr>
            <w:r>
              <w:t xml:space="preserve">0.3486 ± 0.0351</w:t>
            </w:r>
          </w:p>
        </w:tc>
        <w:tc>
          <w:tcPr/>
          <w:p>
            <w:pPr>
              <w:pStyle w:val="Compact"/>
              <w:jc w:val="center"/>
            </w:pPr>
            <w:r>
              <w:t xml:space="preserve">0.4034 ± 0.0844</w:t>
            </w:r>
          </w:p>
        </w:tc>
        <w:tc>
          <w:tcPr/>
          <w:p>
            <w:pPr>
              <w:pStyle w:val="Compact"/>
              <w:jc w:val="center"/>
            </w:pPr>
            <w:r>
              <w:t xml:space="preserve">30</w:t>
            </w:r>
          </w:p>
        </w:tc>
        <w:tc>
          <w:tcPr/>
          <w:p>
            <w:pPr>
              <w:pStyle w:val="Compact"/>
              <w:jc w:val="center"/>
            </w:pPr>
            <w:r>
              <w:t xml:space="preserve">1.164 ± 0.244 (degrades, p=3.0×10⁻³)</w:t>
            </w:r>
          </w:p>
        </w:tc>
      </w:tr>
    </w:tbl>
    <w:p>
      <w:pPr>
        <w:pStyle w:val="BodyText"/>
      </w:pPr>
      <w:r>
        <w:t xml:space="preserve">nRF=0: perfect match; best result in</w:t>
      </w:r>
      <w:r>
        <w:t xml:space="preserve"> </w:t>
      </w:r>
      <w:r>
        <w:rPr>
          <w:b/>
          <w:bCs/>
        </w:rPr>
        <w:t xml:space="preserve">bold</w:t>
      </w:r>
      <w:r>
        <w:t xml:space="preserve">. The clean→indel column is the per-seed ratio indel/clean (mean ± SD over the 30 seeds) with the paired Wilcoxon p-value (zsplit) for indel vs clean; a ratio below 1 means the method is</w:t>
      </w:r>
      <w:r>
        <w:t xml:space="preserve"> </w:t>
      </w:r>
      <w:r>
        <w:rPr>
          <w:i/>
          <w:iCs/>
        </w:rPr>
        <w:t xml:space="preserve">more</w:t>
      </w:r>
      <w:r>
        <w:t xml:space="preserve"> </w:t>
      </w:r>
      <w:r>
        <w:t xml:space="preserve">accurate under indels. Paired Mash − Fusang comparison (positive = Mash worse): clean +0.1122 (Wilcoxon p=1.73×10⁻⁶; sign-flip permutation p=1.86×10⁻⁹; paired Cohen’s d=3.123; Fusang better in 30/30 seeds), indel +0.2108 (p=1.86×10⁻⁹; d=2.615; Fusang better in 30/30 seeds). A 130-seed sensitivity run over the full seed range (seeds 100–229) gives the same picture (Fusang 0.2343 clean / 0.1990 indel; Mash 0.3529 / 0.4075; Fusang better in 130/130 seeds in both conditions), so the conclusion is not driven by seed count. Mash v2.3 (</w:t>
      </w:r>
      <w:r>
        <w:rPr>
          <w:rStyle w:val="VerbatimChar"/>
        </w:rPr>
        <w:t xml:space="preserve">mash triangle -i -k 21 -s 10000</w:t>
      </w:r>
      <w:r>
        <w:t xml:space="preserve">), NJ tree;</w:t>
      </w:r>
      <w:r>
        <w:t xml:space="preserve"> </w:t>
      </w:r>
      <w:r>
        <w:rPr>
          <w:rStyle w:val="VerbatimChar"/>
        </w:rPr>
        <w:t xml:space="preserve">-i</w:t>
      </w:r>
      <w:r>
        <w:t xml:space="preserve"> </w:t>
      </w:r>
      <w:r>
        <w:t xml:space="preserve">is required so that a multi-FASTA is treated as separate sequences.</w:t>
      </w:r>
    </w:p>
    <w:p>
      <w:pPr>
        <w:pStyle w:val="BodyText"/>
      </w:pPr>
      <w:r>
        <w:rPr>
          <w:b/>
          <w:bCs/>
        </w:rPr>
        <w:t xml:space="preserve">Data provenance and withdrawal.</w:t>
      </w:r>
      <w:r>
        <w:t xml:space="preserve"> </w:t>
      </w:r>
      <w:r>
        <w:t xml:space="preserve">Two independent provenance problems affect the earlier version of this table, and both are disclosed here.</w:t>
      </w:r>
    </w:p>
    <w:p>
      <w:pPr>
        <w:numPr>
          <w:ilvl w:val="0"/>
          <w:numId w:val="1001"/>
        </w:numPr>
      </w:pPr>
      <w:r>
        <w:rPr>
          <w:b/>
          <w:bCs/>
        </w:rPr>
        <w:t xml:space="preserve">Defective simulator.</w:t>
      </w:r>
      <w:r>
        <w:t xml:space="preserve"> </w:t>
      </w:r>
      <w:r>
        <w:t xml:space="preserve">Earlier versions reported Fusang 0.376 (clean) / 0.742 (indel) and Mash 0.394 / 0.762, with both methods degrading ~1.9×. Those numbers were produced from</w:t>
      </w:r>
      <w:r>
        <w:t xml:space="preserve"> </w:t>
      </w:r>
      <w:r>
        <w:rPr>
          <w:rStyle w:val="VerbatimChar"/>
        </w:rPr>
        <w:t xml:space="preserve">benchmark_mash/{clean,indel}/seed001–030.fasta</w:t>
      </w:r>
      <w:r>
        <w:t xml:space="preserve">, generated by the hand-written coalescent simulator</w:t>
      </w:r>
      <w:r>
        <w:t xml:space="preserve"> </w:t>
      </w:r>
      <w:r>
        <w:rPr>
          <w:rStyle w:val="VerbatimChar"/>
        </w:rPr>
        <w:t xml:space="preserve">tree_simulation.py</w:t>
      </w:r>
      <w:r>
        <w:t xml:space="preserve"> </w:t>
      </w:r>
      <w:r>
        <w:t xml:space="preserve">already found defective for Table 5 (see the provenance note there). Two defects are documented: (a) the JC69 transition probability at</w:t>
      </w:r>
      <w:r>
        <w:t xml:space="preserve"> </w:t>
      </w:r>
      <w:r>
        <w:rPr>
          <w:rStyle w:val="VerbatimChar"/>
        </w:rPr>
        <w:t xml:space="preserve">tree_simulation.py:123,132</w:t>
      </w:r>
      <w:r>
        <w:t xml:space="preserve"> </w:t>
      </w:r>
      <w:r>
        <w:t xml:space="preserve">is</w:t>
      </w:r>
      <w:r>
        <w:t xml:space="preserve"> </w:t>
      </w:r>
      <w:r>
        <w:rPr>
          <w:rStyle w:val="VerbatimChar"/>
        </w:rPr>
        <w:t xml:space="preserve">0.25 × (1 − exp(−4/3·μ·t))</w:t>
      </w:r>
      <w:r>
        <w:t xml:space="preserve"> </w:t>
      </w:r>
      <w:r>
        <w:t xml:space="preserve">where the coefficient should be 3/4, so realised divergence is one third of the declared value; and (b)</w:t>
      </w:r>
      <w:r>
        <w:t xml:space="preserve"> </w:t>
      </w:r>
      <w:r>
        <w:rPr>
          <w:rStyle w:val="VerbatimChar"/>
        </w:rPr>
        <w:t xml:space="preserve">_apply_indels_to_sequence</w:t>
      </w:r>
      <w:r>
        <w:t xml:space="preserve"> </w:t>
      </w:r>
      <w:r>
        <w:t xml:space="preserve">(</w:t>
      </w:r>
      <w:r>
        <w:rPr>
          <w:rStyle w:val="VerbatimChar"/>
        </w:rPr>
        <w:t xml:space="preserve">tree_simulation.py:153-189</w:t>
      </w:r>
      <w:r>
        <w:t xml:space="preserve">) applies indels per leaf and then crops or pads the sequence back to a fixed 1000 bp, destroying positional homology — the fingerprint of this defect is that every sequence in both conditions is exactly 1000 bp with zero length variation even in the indel condition. Indeed the old Fusang indel value (0.742) and the old Table 5 L0 value (0.743) are the same number computed on the same defective data. All four values are withdrawn and replaced by the INDELible figures above.</w:t>
      </w:r>
    </w:p>
    <w:p>
      <w:pPr>
        <w:numPr>
          <w:ilvl w:val="0"/>
          <w:numId w:val="1001"/>
        </w:numPr>
      </w:pPr>
      <w:r>
        <w:rPr>
          <w:b/>
          <w:bCs/>
        </w:rPr>
        <w:t xml:space="preserve">Defective Mash execution.</w:t>
      </w:r>
      <w:r>
        <w:t xml:space="preserve"> </w:t>
      </w:r>
      <w:r>
        <w:t xml:space="preserve">The in-repo drivers of the real Mash binary (</w:t>
      </w:r>
      <w:r>
        <w:rPr>
          <w:rStyle w:val="VerbatimChar"/>
        </w:rPr>
        <w:t xml:space="preserve">mash_multiseed_benchmark.py:34-40</w:t>
      </w:r>
      <w:r>
        <w:t xml:space="preserve"> </w:t>
      </w:r>
      <w:r>
        <w:t xml:space="preserve">and</w:t>
      </w:r>
      <w:r>
        <w:t xml:space="preserve"> </w:t>
      </w:r>
      <w:r>
        <w:rPr>
          <w:rStyle w:val="VerbatimChar"/>
        </w:rPr>
        <w:t xml:space="preserve">mash_benchmark_wsl2.py:22-28</w:t>
      </w:r>
      <w:r>
        <w:t xml:space="preserve">) call</w:t>
      </w:r>
      <w:r>
        <w:t xml:space="preserve"> </w:t>
      </w:r>
      <w:r>
        <w:rPr>
          <w:rStyle w:val="VerbatimChar"/>
        </w:rPr>
        <w:t xml:space="preserve">mash sketch</w:t>
      </w:r>
      <w:r>
        <w:t xml:space="preserve"> </w:t>
      </w:r>
      <w:r>
        <w:rPr>
          <w:b/>
          <w:bCs/>
        </w:rPr>
        <w:t xml:space="preserve">without</w:t>
      </w:r>
      <w:r>
        <w:rPr>
          <w:b/>
          <w:bCs/>
        </w:rPr>
        <w:t xml:space="preserve"> </w:t>
      </w:r>
      <w:r>
        <w:rPr>
          <w:rStyle w:val="VerbatimChar"/>
          <w:b/>
          <w:bCs/>
        </w:rPr>
        <w:t xml:space="preserve">-i</w:t>
      </w:r>
      <w:r>
        <w:t xml:space="preserve">, so a multi-sequence FASTA is treated as a single genome rather than as separate sequences; the only script that does pass</w:t>
      </w:r>
      <w:r>
        <w:t xml:space="preserve"> </w:t>
      </w:r>
      <w:r>
        <w:rPr>
          <w:rStyle w:val="VerbatimChar"/>
        </w:rPr>
        <w:t xml:space="preserve">-i</w:t>
      </w:r>
      <w:r>
        <w:t xml:space="preserve"> </w:t>
      </w:r>
      <w:r>
        <w:t xml:space="preserve">(</w:t>
      </w:r>
      <w:r>
        <w:rPr>
          <w:rStyle w:val="VerbatimChar"/>
        </w:rPr>
        <w:t xml:space="preserve">mash_run_30seeds.sh</w:t>
      </w:r>
      <w:r>
        <w:t xml:space="preserve">) recorded ERR for all 30 seeds in</w:t>
      </w:r>
      <w:r>
        <w:t xml:space="preserve"> </w:t>
      </w:r>
      <w:r>
        <w:rPr>
          <w:rStyle w:val="VerbatimChar"/>
        </w:rPr>
        <w:t xml:space="preserve">mash_final_results/mash_30seeds.csv</w:t>
      </w:r>
      <w:r>
        <w:t xml:space="preserve">; and</w:t>
      </w:r>
      <w:r>
        <w:t xml:space="preserve"> </w:t>
      </w:r>
      <w:r>
        <w:rPr>
          <w:rStyle w:val="VerbatimChar"/>
        </w:rPr>
        <w:t xml:space="preserve">mash_benchmark_results.csv</w:t>
      </w:r>
      <w:r>
        <w:t xml:space="preserve"> </w:t>
      </w:r>
      <w:r>
        <w:t xml:space="preserve">— the file the old Mash rows were read from — is written by no script in the repository. The replacement runs use</w:t>
      </w:r>
      <w:r>
        <w:t xml:space="preserve"> </w:t>
      </w:r>
      <w:r>
        <w:rPr>
          <w:rStyle w:val="VerbatimChar"/>
        </w:rPr>
        <w:t xml:space="preserve">mash triangle -i -k 21 -s 10000</w:t>
      </w:r>
      <w:r>
        <w:t xml:space="preserve"> </w:t>
      </w:r>
      <w:r>
        <w:t xml:space="preserve">(Mash v2.3, WSL Ubuntu-24.04), and the PHYLIP outputs for 5 seeds × 2 conditions are byte-for-byte reproducible.</w:t>
      </w:r>
    </w:p>
    <w:p>
      <w:pPr>
        <w:pStyle w:val="FirstParagraph"/>
      </w:pPr>
      <w:r>
        <w:rPr>
          <w:b/>
          <w:bCs/>
        </w:rPr>
        <w:t xml:space="preserve">Metric and implementation stability.</w:t>
      </w:r>
      <w:r>
        <w:t xml:space="preserve"> </w:t>
      </w:r>
      <w:r>
        <w:t xml:space="preserve">Shuffling taxon order moves nRF by at most 0.015. DendroPy 5.0.8 (</w:t>
      </w:r>
      <w:r>
        <w:rPr>
          <w:rStyle w:val="VerbatimChar"/>
        </w:rPr>
        <w:t xml:space="preserve">treecompare.symmetric_difference</w:t>
      </w:r>
      <w:r>
        <w:t xml:space="preserve"> </w:t>
      </w:r>
      <w:r>
        <w:t xml:space="preserve">with</w:t>
      </w:r>
      <w:r>
        <w:t xml:space="preserve"> </w:t>
      </w:r>
      <w:r>
        <w:rPr>
          <w:rStyle w:val="VerbatimChar"/>
        </w:rPr>
        <w:t xml:space="preserve">rooting='force-unrooted'</w:t>
      </w:r>
      <w:r>
        <w:t xml:space="preserve">) agrees exactly with</w:t>
      </w:r>
      <w:r>
        <w:t xml:space="preserve"> </w:t>
      </w:r>
      <w:r>
        <w:rPr>
          <w:rStyle w:val="VerbatimChar"/>
        </w:rPr>
        <w:t xml:space="preserve">nrf_standard.py</w:t>
      </w:r>
      <w:r>
        <w:t xml:space="preserve"> </w:t>
      </w:r>
      <w:r>
        <w:t xml:space="preserve">on 24 tree pairs (6 seeds × 2 conditions × 2 methods), and all 260 trees scored for this table were verified as fully resolved (197 = n−3 splits each).</w:t>
      </w:r>
    </w:p>
    <w:p>
      <w:pPr>
        <w:pStyle w:val="BodyText"/>
      </w:pPr>
      <w:r>
        <w:t xml:space="preserve">Three findings emerge from the Mash benchmark:</w:t>
      </w:r>
    </w:p>
    <w:p>
      <w:pPr>
        <w:numPr>
          <w:ilvl w:val="0"/>
          <w:numId w:val="1002"/>
        </w:numPr>
      </w:pPr>
      <w:r>
        <w:rPr>
          <w:b/>
          <w:bCs/>
        </w:rPr>
        <w:t xml:space="preserve">Mash is far less accurate than k-mer cosine on gene-length data, in both conditions.</w:t>
      </w:r>
      <w:r>
        <w:t xml:space="preserve"> </w:t>
      </w:r>
      <w:r>
        <w:t xml:space="preserve">On clean substitution-only sequences Mash gives 0.3486 ± 0.0351 against Fusang’s 0.2364 ± 0.0336 — a gap of +0.1122 nRF (paired d=3.123, Fusang better in 30/30 seeds); on indel-rich data the gap widens to +0.2108 (0.4034 ± 0.0844 vs 0.1926 ± 0.0272, d=2.615, 30/30). The earlier claim that the two methods are roughly comparable was an artefact of the defective simulator, under which both were driven close to the random-tree ceiling and their differences compressed.</w:t>
      </w:r>
    </w:p>
    <w:p>
      <w:pPr>
        <w:numPr>
          <w:ilvl w:val="0"/>
          <w:numId w:val="1002"/>
        </w:numPr>
      </w:pPr>
      <w:r>
        <w:rPr>
          <w:b/>
          <w:bCs/>
        </w:rPr>
        <w:t xml:space="preserve">The two methods respond to indels in opposite directions, and neither degrades severely.</w:t>
      </w:r>
      <w:r>
        <w:t xml:space="preserve"> </w:t>
      </w:r>
      <w:r>
        <w:t xml:space="preserve">Mash degrades significantly but modestly (0.3486 → 0.4034; per-seed ratio 1.164 ± 0.244; paired +0.0548, Wilcoxon p=3.0×10⁻³), while Fusang’s spaced k-mer cosine significantly</w:t>
      </w:r>
      <w:r>
        <w:t xml:space="preserve"> </w:t>
      </w:r>
      <w:r>
        <w:rPr>
          <w:i/>
          <w:iCs/>
        </w:rPr>
        <w:t xml:space="preserve">improves</w:t>
      </w:r>
      <w:r>
        <w:t xml:space="preserve"> </w:t>
      </w:r>
      <w:r>
        <w:t xml:space="preserve">(0.2364 → 0.1926; ratio 0.827 ± 0.144; paired −0.0438, p=6.2×10⁻⁶) — consistent with the indel-rate scan in Table 3, where Fusang’s advantage over FastTree2 grows with indel rate. The claim in earlier versions that both degrade ~1.9× is withdrawn. The mechanistic story changes accordingly: MinHash’s deficit on gene-length sequences is a poor</w:t>
      </w:r>
      <w:r>
        <w:t xml:space="preserve"> </w:t>
      </w:r>
      <w:r>
        <w:rPr>
          <w:i/>
          <w:iCs/>
        </w:rPr>
        <w:t xml:space="preserve">baseline</w:t>
      </w:r>
      <w:r>
        <w:t xml:space="preserve">, not exceptional indel sensitivity — at L=500 bp with k=21, nearly every 21-mer is unique, so Jaccard similarities saturate near zero and carry little signal whether or not indels are present. Indel robustness is a genuine advantage of k-mer cosine, but the dominant advantage here is absolute accuracy.</w:t>
      </w:r>
    </w:p>
    <w:p>
      <w:pPr>
        <w:numPr>
          <w:ilvl w:val="0"/>
          <w:numId w:val="1002"/>
        </w:numPr>
      </w:pPr>
      <w:r>
        <w:rPr>
          <w:b/>
          <w:bCs/>
        </w:rPr>
        <w:t xml:space="preserve">MinHash Jaccard is not recommended for phylogenetic inference on gene-length sequences.</w:t>
      </w:r>
      <w:r>
        <w:t xml:space="preserve"> </w:t>
      </w:r>
      <w:r>
        <w:t xml:space="preserve">Mash was designed for whole-genome distance estimation, where genome-scale content masking makes MinHash effective. For gene-length sequences (L=500–1000 bp), the combination of short sequence length and a large k produces unreliable MinHash distances irrespective of indel content. K-mer cosine distances (Fusang) are the recommended alignment-free approach for phylogenetic inference at this scale.</w:t>
      </w:r>
    </w:p>
    <w:p>
      <w:pPr>
        <w:pStyle w:val="FirstParagraph"/>
      </w:pPr>
      <w:r>
        <w:rPr>
          <w:b/>
          <w:bCs/>
        </w:rPr>
        <w:t xml:space="preserve">Table 3. Indel rate scan: Fusang vs FastTree2 (n=200, L=500 bp; all four indel rates use 130 seeds 100–229).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0.224</w:t>
            </w:r>
          </w:p>
        </w:tc>
        <w:tc>
          <w:tcPr/>
          <w:p>
            <w:pPr>
              <w:pStyle w:val="Compact"/>
            </w:pPr>
            <w:r>
              <w:rPr>
                <w:b/>
                <w:bCs/>
              </w:rPr>
              <w:t xml:space="preserve">0.206</w:t>
            </w:r>
          </w:p>
        </w:tc>
      </w:tr>
      <w:tr>
        <w:tc>
          <w:tcPr/>
          <w:p>
            <w:pPr>
              <w:pStyle w:val="Compact"/>
            </w:pPr>
            <w:r>
              <w:t xml:space="preserve">0.01</w:t>
            </w:r>
          </w:p>
        </w:tc>
        <w:tc>
          <w:tcPr/>
          <w:p>
            <w:pPr>
              <w:pStyle w:val="Compact"/>
            </w:pPr>
            <w:r>
              <w:t xml:space="preserve">0.215</w:t>
            </w:r>
          </w:p>
        </w:tc>
        <w:tc>
          <w:tcPr/>
          <w:p>
            <w:pPr>
              <w:pStyle w:val="Compact"/>
            </w:pPr>
            <w:r>
              <w:rPr>
                <w:b/>
                <w:bCs/>
              </w:rPr>
              <w:t xml:space="preserve">0.205</w:t>
            </w:r>
          </w:p>
        </w:tc>
      </w:tr>
      <w:tr>
        <w:tc>
          <w:tcPr/>
          <w:p>
            <w:pPr>
              <w:pStyle w:val="Compact"/>
            </w:pPr>
            <w:r>
              <w:t xml:space="preserve">0.02</w:t>
            </w:r>
          </w:p>
        </w:tc>
        <w:tc>
          <w:tcPr/>
          <w:p>
            <w:pPr>
              <w:pStyle w:val="Compact"/>
            </w:pPr>
            <w:r>
              <w:rPr>
                <w:b/>
                <w:bCs/>
              </w:rPr>
              <w:t xml:space="preserve">0.199</w:t>
            </w:r>
          </w:p>
        </w:tc>
        <w:tc>
          <w:tcPr/>
          <w:p>
            <w:pPr>
              <w:pStyle w:val="Compact"/>
            </w:pPr>
            <w:r>
              <w:t xml:space="preserve">0.205</w:t>
            </w:r>
          </w:p>
        </w:tc>
      </w:tr>
      <w:tr>
        <w:tc>
          <w:tcPr/>
          <w:p>
            <w:pPr>
              <w:pStyle w:val="Compact"/>
            </w:pPr>
            <w:r>
              <w:t xml:space="preserve">0.05</w:t>
            </w:r>
          </w:p>
        </w:tc>
        <w:tc>
          <w:tcPr/>
          <w:p>
            <w:pPr>
              <w:pStyle w:val="Compact"/>
            </w:pPr>
            <w:r>
              <w:rPr>
                <w:b/>
                <w:bCs/>
              </w:rPr>
              <w:t xml:space="preserve">0.180</w:t>
            </w:r>
          </w:p>
        </w:tc>
        <w:tc>
          <w:tcPr/>
          <w:p>
            <w:pPr>
              <w:pStyle w:val="Compact"/>
            </w:pPr>
            <w:r>
              <w:t xml:space="preserve">0.202</w:t>
            </w:r>
          </w:p>
        </w:tc>
      </w:tr>
    </w:tbl>
    <w:p>
      <w:pPr>
        <w:pStyle w:val="BodyText"/>
      </w:pPr>
      <w:r>
        <w:t xml:space="preserve">Both columns are TRUE-relative and directly comparable per seed. Fusang’s accuracy relative to FastTree2 improves monotonically with indel rate and crosses over: Fusang is significantly</w:t>
      </w:r>
      <w:r>
        <w:t xml:space="preserve"> </w:t>
      </w:r>
      <w:r>
        <w:rPr>
          <w:i/>
          <w:iCs/>
        </w:rPr>
        <w:t xml:space="preserve">worse</w:t>
      </w:r>
      <w:r>
        <w:t xml:space="preserve"> </w:t>
      </w:r>
      <w:r>
        <w:t xml:space="preserve">at the two lowest rates (−8.9% at 0.005, Wilcoxon p=1.75×10⁻¹¹; −5.1% at 0.01, p=5.20×10⁻⁵), numerically better at 0.02 (+2.8%, p=0.0507, borderline; not significant at α=0.05) and clearly better at 0.05 (+10.9%, p=1.27×10⁻¹¹, Fusang better in 99/130 seeds) — calculated as (FT2_nRF − Fusang_nRF) / FT2_nRF × 100%, so negative values denote a Fusang deficit. The crossover lies between indel rate 0.01 and 0.02. All four rows use 130/130 valid seeds (no outlier exclusions). An independent pipeline-level validation under a separate simulation protocol is reported below.</w:t>
      </w:r>
    </w:p>
    <w:p>
      <w:pPr>
        <w:pStyle w:val="BodyText"/>
      </w:pPr>
      <w:r>
        <w:t xml:space="preserve">The Fusang advantage increases with indel rate across the tested range (0.005–0.05), changing sign between 0.01 and 0.02. At indel=0.05 Fusang achieves a 10.9% relative advantage (nRF 0.180 vs 0.202), whereas at 0.005 and 0.01 FastTree2 retains a significant advantage (8.9% and 5.1%). Real biological indel rates typically fall in the 0.01–0.05 range [27,28]; Fusang’s advantage is therefore concentrated in the upper part of that range, and alignment-free inference should be preferred over MSA+ML only when indel density is high. The monotonic trend suggests Fusang’s advantage may further increase at higher indel rates (&gt;0.05), though phylogenetic signal eventually degrades for all methods.</w:t>
      </w:r>
    </w:p>
    <w:p>
      <w:pPr>
        <w:pStyle w:val="BodyText"/>
      </w:pPr>
      <w:r>
        <w:rPr>
          <w:b/>
          <w:bCs/>
        </w:rPr>
        <w:t xml:space="preserve">Table 4. Multi-k ensemble vs single-k configuration (n=200, indel rate=0.02, 130 seeds 100–229, INDELible). All nRF values are TRUE-relative (vs the simulated ground-truth tree).</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130</w:t>
            </w:r>
          </w:p>
        </w:tc>
      </w:tr>
      <w:tr>
        <w:tc>
          <w:tcPr/>
          <w:p>
            <w:pPr>
              <w:pStyle w:val="Compact"/>
            </w:pPr>
            <w:r>
              <w:t xml:space="preserve">K-mer cosine k=7 (contiguous)</w:t>
            </w:r>
          </w:p>
        </w:tc>
        <w:tc>
          <w:tcPr/>
          <w:p>
            <w:pPr>
              <w:pStyle w:val="Compact"/>
            </w:pPr>
            <w:r>
              <w:t xml:space="preserve">k=7, no gap</w:t>
            </w:r>
          </w:p>
        </w:tc>
        <w:tc>
          <w:tcPr/>
          <w:p>
            <w:pPr>
              <w:pStyle w:val="Compact"/>
            </w:pPr>
            <w:r>
              <w:rPr>
                <w:b/>
                <w:bCs/>
              </w:rPr>
              <w:t xml:space="preserve">0.1938</w:t>
            </w:r>
          </w:p>
        </w:tc>
        <w:tc>
          <w:tcPr/>
          <w:p>
            <w:pPr>
              <w:pStyle w:val="Compact"/>
            </w:pPr>
            <w:r>
              <w:t xml:space="preserve">0.0295</w:t>
            </w:r>
          </w:p>
        </w:tc>
        <w:tc>
          <w:tcPr/>
          <w:p>
            <w:pPr>
              <w:pStyle w:val="Compact"/>
              <w:jc w:val="center"/>
            </w:pPr>
            <w:r>
              <w:t xml:space="preserve">48/130 (n.s., p=0.669)</w:t>
            </w:r>
          </w:p>
        </w:tc>
      </w:tr>
      <w:tr>
        <w:tc>
          <w:tcPr/>
          <w:p>
            <w:pPr>
              <w:pStyle w:val="Compact"/>
            </w:pPr>
            <w:r>
              <w:rPr>
                <w:b/>
                <w:bCs/>
              </w:rPr>
              <w:t xml:space="preserve">Multi-k ensemble</w:t>
            </w:r>
          </w:p>
        </w:tc>
        <w:tc>
          <w:tcPr/>
          <w:p>
            <w:pPr>
              <w:pStyle w:val="Compact"/>
            </w:pPr>
            <w:r>
              <w:rPr>
                <w:b/>
                <w:bCs/>
              </w:rPr>
              <w:t xml:space="preserve">avg(k=5,7,9), contiguous</w:t>
            </w:r>
          </w:p>
        </w:tc>
        <w:tc>
          <w:tcPr/>
          <w:p>
            <w:pPr>
              <w:pStyle w:val="Compact"/>
            </w:pPr>
            <w:r>
              <w:rPr>
                <w:b/>
                <w:bCs/>
              </w:rPr>
              <w:t xml:space="preserve">0.1940</w:t>
            </w:r>
          </w:p>
        </w:tc>
        <w:tc>
          <w:tcPr/>
          <w:p>
            <w:pPr>
              <w:pStyle w:val="Compact"/>
            </w:pPr>
            <w:r>
              <w:rPr>
                <w:b/>
                <w:bCs/>
              </w:rPr>
              <w:t xml:space="preserve">0.0296</w:t>
            </w:r>
          </w:p>
        </w:tc>
        <w:tc>
          <w:tcPr/>
          <w:p>
            <w:pPr>
              <w:pStyle w:val="Compact"/>
              <w:jc w:val="center"/>
            </w:pPr>
            <w:r>
              <w:t xml:space="preserve">—</w:t>
            </w:r>
          </w:p>
        </w:tc>
      </w:tr>
      <w:tr>
        <w:tc>
          <w:tcPr/>
          <w:p>
            <w:pPr>
              <w:pStyle w:val="Compact"/>
            </w:pPr>
            <w:r>
              <w:t xml:space="preserve">Fusang k=5,gap2 (full pipeline)</w:t>
            </w:r>
          </w:p>
        </w:tc>
        <w:tc>
          <w:tcPr/>
          <w:p>
            <w:pPr>
              <w:pStyle w:val="Compact"/>
            </w:pPr>
            <w:r>
              <w:t xml:space="preserve">spaced + BME-NNI</w:t>
            </w:r>
          </w:p>
        </w:tc>
        <w:tc>
          <w:tcPr/>
          <w:p>
            <w:pPr>
              <w:pStyle w:val="Compact"/>
            </w:pPr>
            <w:r>
              <w:t xml:space="preserve">0.1990</w:t>
            </w:r>
          </w:p>
        </w:tc>
        <w:tc>
          <w:tcPr/>
          <w:p>
            <w:pPr>
              <w:pStyle w:val="Compact"/>
            </w:pPr>
            <w:r>
              <w:t xml:space="preserve">0.0296</w:t>
            </w:r>
          </w:p>
        </w:tc>
        <w:tc>
          <w:tcPr/>
          <w:p>
            <w:pPr>
              <w:pStyle w:val="Compact"/>
              <w:jc w:val="center"/>
            </w:pPr>
            <w:r>
              <w:rPr>
                <w:b/>
                <w:bCs/>
              </w:rPr>
              <w:t xml:space="preserve">72/130</w:t>
            </w:r>
            <w:r>
              <w:t xml:space="preserve"> </w:t>
            </w:r>
            <w:r>
              <w:t xml:space="preserve">(p=0.0077)</w:t>
            </w:r>
          </w:p>
        </w:tc>
      </w:tr>
      <w:tr>
        <w:tc>
          <w:tcPr/>
          <w:p>
            <w:pPr>
              <w:pStyle w:val="Compact"/>
            </w:pPr>
            <w:r>
              <w:t xml:space="preserve">Fusang k=5,gap2 (spaced, NJ only)</w:t>
            </w:r>
          </w:p>
        </w:tc>
        <w:tc>
          <w:tcPr/>
          <w:p>
            <w:pPr>
              <w:pStyle w:val="Compact"/>
            </w:pPr>
            <w:r>
              <w:t xml:space="preserve">k=5, gap2 →</w:t>
            </w:r>
            <w:r>
              <w:t xml:space="preserve"> </w:t>
            </w:r>
            <w:r>
              <w:rPr>
                <w:rStyle w:val="VerbatimChar"/>
              </w:rPr>
              <w:t xml:space="preserve">1110011</w:t>
            </w:r>
            <w:r>
              <w:t xml:space="preserve">; no NNI</w:t>
            </w:r>
          </w:p>
        </w:tc>
        <w:tc>
          <w:tcPr/>
          <w:p>
            <w:pPr>
              <w:pStyle w:val="Compact"/>
            </w:pPr>
            <w:r>
              <w:t xml:space="preserve">0.2003</w:t>
            </w:r>
          </w:p>
        </w:tc>
        <w:tc>
          <w:tcPr/>
          <w:p>
            <w:pPr>
              <w:pStyle w:val="Compact"/>
            </w:pPr>
            <w:r>
              <w:t xml:space="preserve">0.0296</w:t>
            </w:r>
          </w:p>
        </w:tc>
        <w:tc>
          <w:tcPr/>
          <w:p>
            <w:pPr>
              <w:pStyle w:val="Compact"/>
              <w:jc w:val="center"/>
            </w:pPr>
            <w:r>
              <w:rPr>
                <w:b/>
                <w:bCs/>
              </w:rPr>
              <w:t xml:space="preserve">74/130</w:t>
            </w:r>
            <w:r>
              <w:t xml:space="preserve"> </w:t>
            </w:r>
            <w:r>
              <w:t xml:space="preserve">(p=1.13×10⁻³)</w:t>
            </w:r>
          </w:p>
        </w:tc>
      </w:tr>
      <w:tr>
        <w:tc>
          <w:tcPr/>
          <w:p>
            <w:pPr>
              <w:pStyle w:val="Compact"/>
            </w:pPr>
            <w:r>
              <w:t xml:space="preserve">K-mer cosine k=9 (contiguous)</w:t>
            </w:r>
          </w:p>
        </w:tc>
        <w:tc>
          <w:tcPr/>
          <w:p>
            <w:pPr>
              <w:pStyle w:val="Compact"/>
            </w:pPr>
            <w:r>
              <w:t xml:space="preserve">k=9, no gap</w:t>
            </w:r>
          </w:p>
        </w:tc>
        <w:tc>
          <w:tcPr/>
          <w:p>
            <w:pPr>
              <w:pStyle w:val="Compact"/>
            </w:pPr>
            <w:r>
              <w:t xml:space="preserve">0.2005</w:t>
            </w:r>
          </w:p>
        </w:tc>
        <w:tc>
          <w:tcPr/>
          <w:p>
            <w:pPr>
              <w:pStyle w:val="Compact"/>
            </w:pPr>
            <w:r>
              <w:t xml:space="preserve">0.0299</w:t>
            </w:r>
          </w:p>
        </w:tc>
        <w:tc>
          <w:tcPr/>
          <w:p>
            <w:pPr>
              <w:pStyle w:val="Compact"/>
              <w:jc w:val="center"/>
            </w:pPr>
            <w:r>
              <w:rPr>
                <w:b/>
                <w:bCs/>
              </w:rPr>
              <w:t xml:space="preserve">81/130</w:t>
            </w:r>
            <w:r>
              <w:t xml:space="preserve"> </w:t>
            </w:r>
            <w:r>
              <w:t xml:space="preserve">(p=9.10×10⁻⁸)</w:t>
            </w:r>
          </w:p>
        </w:tc>
      </w:tr>
      <w:tr>
        <w:tc>
          <w:tcPr/>
          <w:p>
            <w:pPr>
              <w:pStyle w:val="Compact"/>
            </w:pPr>
            <w:r>
              <w:t xml:space="preserve">K-mer cosine k=5 (contiguous)</w:t>
            </w:r>
          </w:p>
        </w:tc>
        <w:tc>
          <w:tcPr/>
          <w:p>
            <w:pPr>
              <w:pStyle w:val="Compact"/>
            </w:pPr>
            <w:r>
              <w:t xml:space="preserve">k=5, no gap</w:t>
            </w:r>
          </w:p>
        </w:tc>
        <w:tc>
          <w:tcPr/>
          <w:p>
            <w:pPr>
              <w:pStyle w:val="Compact"/>
            </w:pPr>
            <w:r>
              <w:t xml:space="preserve">0.2078</w:t>
            </w:r>
          </w:p>
        </w:tc>
        <w:tc>
          <w:tcPr/>
          <w:p>
            <w:pPr>
              <w:pStyle w:val="Compact"/>
            </w:pPr>
            <w:r>
              <w:t xml:space="preserve">0.0314</w:t>
            </w:r>
          </w:p>
        </w:tc>
        <w:tc>
          <w:tcPr/>
          <w:p>
            <w:pPr>
              <w:pStyle w:val="Compact"/>
              <w:jc w:val="center"/>
            </w:pPr>
            <w:r>
              <w:rPr>
                <w:b/>
                <w:bCs/>
              </w:rPr>
              <w:t xml:space="preserve">93/130</w:t>
            </w:r>
            <w:r>
              <w:t xml:space="preserve"> </w:t>
            </w:r>
            <w:r>
              <w:t xml:space="preserve">(p=2.22×10⁻¹²)</w:t>
            </w:r>
          </w:p>
        </w:tc>
      </w:tr>
    </w:tbl>
    <w:p>
      <w:pPr>
        <w:pStyle w:val="BodyText"/>
      </w:pPr>
      <w:r>
        <w:t xml:space="preserve">nRF=0: perfect match. All values are TRUE-relative (see caption). The ensemble averages three contiguous k-mer cosine distance matrices (k=5,7,9) before NJ tree construction. All rows except the full-pipeline row use NJ without NNI refinement; the full-pipeline row is the Fusang CLI product (NJ plus BME-scored NNI).</w:t>
      </w:r>
      <w:r>
        <w:t xml:space="preserve"> </w:t>
      </w:r>
      <w:r>
        <w:t xml:space="preserve">“Ensemble wins / 130”</w:t>
      </w:r>
      <w:r>
        <w:t xml:space="preserve"> </w:t>
      </w:r>
      <w:r>
        <w:t xml:space="preserve">is the number of seeds on which the ensemble attained the lower nRF against that row’s method; the paired Wilcoxon p-value (zsplit, two-sided) for the same contrast is given in brackets, and where the counts and the p-value appear to disagree the paired-comparison list in the text is authoritative.</w:t>
      </w:r>
    </w:p>
    <w:p>
      <w:pPr>
        <w:pStyle w:val="BodyText"/>
      </w:pPr>
      <w:r>
        <w:rPr>
          <w:b/>
          <w:bCs/>
        </w:rPr>
        <w:t xml:space="preserve">Paired comparison: Multi-k ensemble vs single-k components (130 seeds, TRUE-relative)</w:t>
      </w:r>
      <w:r>
        <w:t xml:space="preserve">:</w:t>
      </w:r>
      <w:r>
        <w:t xml:space="preserve"> </w:t>
      </w:r>
      <w:r>
        <w:t xml:space="preserve">- The ensemble (nRF=0.1940) significantly outperforms contiguous k=5 (0.2078; ensemble better in 93/130 seeds, k=5 better in 24, 13 ties, Wilcoxon p=2.22×10⁻¹², paired d=0.755).</w:t>
      </w:r>
      <w:r>
        <w:t xml:space="preserve"> </w:t>
      </w:r>
      <w:r>
        <w:t xml:space="preserve">- The ensemble is statistically indistinguishable from the best single-k configuration, contiguous k=7 (0.1938; ensemble better in 48, k=7 better in 51, 31 ties, p=0.669 on integer RF counts, d=0.020) — if anything k=7 is marginally ahead, but the difference is far from significant.</w:t>
      </w:r>
      <w:r>
        <w:t xml:space="preserve"> </w:t>
      </w:r>
      <w:r>
        <w:t xml:space="preserve">- The ensemble significantly outperforms contiguous k=9 (0.2005; ensemble better in 81, k=9 better in 32, 17 ties, p=9.10×10⁻⁸, d=0.517).</w:t>
      </w:r>
      <w:r>
        <w:t xml:space="preserve"> </w:t>
      </w:r>
      <w:r>
        <w:t xml:space="preserve">- Against the spaced k=5,gap2 configuration under the same NJ-only protocol, the ensemble is significantly better (0.1940 vs 0.2003; ensemble better in 74, spaced NJ-only better in 41, 15 ties, p=1.13×10⁻³, d=0.317). This comparison mixes two changes (multi-k fusion and contiguous-vs-spaced patterns); the like-for-like single-k spaced-vs-contiguous comparison (Table 7, Finding 3) shows the spaced pattern itself is significantly better at k=5 (0.2003 vs 0.2078, p=5.54×10⁻⁴).</w:t>
      </w:r>
      <w:r>
        <w:t xml:space="preserve"> </w:t>
      </w:r>
      <w:r>
        <w:t xml:space="preserve">-</w:t>
      </w:r>
      <w:r>
        <w:t xml:space="preserve"> </w:t>
      </w:r>
      <w:r>
        <w:rPr>
          <w:b/>
          <w:bCs/>
        </w:rPr>
        <w:t xml:space="preserve">The ensemble significantly outperforms the full Fusang pipeline</w:t>
      </w:r>
      <w:r>
        <w:t xml:space="preserve"> </w:t>
      </w:r>
      <w:r>
        <w:t xml:space="preserve">(spaced + BME-NNI, 0.1990; ensemble better in 72/130 seeds, pipeline better in 46, 12 ties, p=0.0077, d=0.246). This reverses the ordering reported in earlier versions of this manuscript, which had the full pipeline significantly ahead of the ensemble (p=8.1×10⁻⁵, d=0.37) under the superseded nRF implementation; that claim is withdrawn.</w:t>
      </w:r>
    </w:p>
    <w:p>
      <w:pPr>
        <w:pStyle w:val="BodyText"/>
      </w:pPr>
      <w:r>
        <w:t xml:space="preserve">This result demonstrates that distance matrix fusion across multiple contiguous k-mer resolutions is, at L=500 bp, the most accurate configuration we tested rather than merely a robust fallback: the ensemble is statistically tied with the best single-k member (k=7) and significantly better than every other configuration in Table 4, including the default Fusang pipeline, while not requiring users to pre-select the optimal k value for their dataset (per-seed data: Supplementary Figure S7, Supplementary Table S9). The margin over the default pipeline is small (0.0050 nRF, paired d=0.246, 72/130 wins), so we present the ensemble and contiguous k=7 as the recommended configurations at this scale and the default spaced+NNI pipeline as a robust choice that is nonetheless not the most accurate one here. The ensemble is implemented as a standalone script (</w:t>
      </w:r>
      <w:r>
        <w:rPr>
          <w:rStyle w:val="VerbatimChar"/>
        </w:rPr>
        <w:t xml:space="preserve">benchmark_multik_ensemble.py</w:t>
      </w:r>
      <w:r>
        <w:t xml:space="preserve">) that averages the k=5/7/9 contiguous cosine distance matrices before NJ tree construction. Its remaining established benefits are the single-k→multi-k gain under the L=1000 bp protocol (Table 5) and the automatic rescue of the saturating gene-scale default at genome scale (see Real genome benchmarks below).</w:t>
      </w:r>
    </w:p>
    <w:p>
      <w:pPr>
        <w:pStyle w:val="BodyText"/>
      </w:pPr>
      <w:r>
        <w:rPr>
          <w:b/>
          <w:bCs/>
        </w:rPr>
        <w:t xml:space="preserve">Table 5. Pipeline-level validation against true tree (n=200, L=1000 bp, sub=0.05, indel=0.02, 30 seeds, seeds 300–329, all levels complete). All nRF values are TRUE-relative (vs simulated ground truth) under the standard root-independent unrooted RF. Note: this benchmark uses a simulation protocol with L=1000 bp, independent of the guide-tree protocol used in Tables 1 and 3 (L=500 bp); absolute nRF values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k=5,gap2 NJ</w:t>
            </w:r>
          </w:p>
        </w:tc>
        <w:tc>
          <w:tcPr/>
          <w:p>
            <w:pPr>
              <w:pStyle w:val="Compact"/>
            </w:pPr>
            <w:r>
              <w:t xml:space="preserve">0.150</w:t>
            </w:r>
          </w:p>
        </w:tc>
        <w:tc>
          <w:tcPr/>
          <w:p>
            <w:pPr>
              <w:pStyle w:val="Compact"/>
            </w:pPr>
            <w:r>
              <w:t xml:space="preserve">0.026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0.137</w:t>
            </w:r>
          </w:p>
        </w:tc>
        <w:tc>
          <w:tcPr/>
          <w:p>
            <w:pPr>
              <w:pStyle w:val="Compact"/>
            </w:pPr>
            <w:r>
              <w:rPr>
                <w:b/>
                <w:bCs/>
              </w:rPr>
              <w:t xml:space="preserve">0.023</w:t>
            </w:r>
          </w:p>
        </w:tc>
        <w:tc>
          <w:tcPr/>
          <w:p>
            <w:pPr>
              <w:pStyle w:val="Compact"/>
            </w:pPr>
            <w:r>
              <w:rPr>
                <w:b/>
                <w:bCs/>
              </w:rPr>
              <w:t xml:space="preserve">30</w:t>
            </w:r>
          </w:p>
        </w:tc>
        <w:tc>
          <w:tcPr/>
          <w:p>
            <w:pPr>
              <w:pStyle w:val="Compact"/>
              <w:jc w:val="center"/>
            </w:pPr>
            <w:r>
              <w:rPr>
                <w:b/>
                <w:bCs/>
              </w:rPr>
              <w:t xml:space="preserve">0.00206</w:t>
            </w:r>
          </w:p>
        </w:tc>
      </w:tr>
      <w:tr>
        <w:tc>
          <w:tcPr/>
          <w:p>
            <w:pPr>
              <w:pStyle w:val="Compact"/>
            </w:pPr>
            <w:r>
              <w:t xml:space="preserve">L3</w:t>
            </w:r>
          </w:p>
        </w:tc>
        <w:tc>
          <w:tcPr/>
          <w:p>
            <w:pPr>
              <w:pStyle w:val="Compact"/>
            </w:pPr>
            <w:r>
              <w:t xml:space="preserve">MAFFT + FastTree2 GTR</w:t>
            </w:r>
          </w:p>
        </w:tc>
        <w:tc>
          <w:tcPr/>
          <w:p>
            <w:pPr>
              <w:pStyle w:val="Compact"/>
            </w:pPr>
            <w:r>
              <w:rPr>
                <w:b/>
                <w:bCs/>
              </w:rPr>
              <w:t xml:space="preserve">0.124</w:t>
            </w:r>
          </w:p>
        </w:tc>
        <w:tc>
          <w:tcPr/>
          <w:p>
            <w:pPr>
              <w:pStyle w:val="Compact"/>
            </w:pPr>
            <w:r>
              <w:t xml:space="preserve">0.026</w:t>
            </w:r>
          </w:p>
        </w:tc>
        <w:tc>
          <w:tcPr/>
          <w:p>
            <w:pPr>
              <w:pStyle w:val="Compact"/>
            </w:pPr>
            <w:r>
              <w:t xml:space="preserve">30</w:t>
            </w:r>
          </w:p>
        </w:tc>
        <w:tc>
          <w:tcPr/>
          <w:p>
            <w:pPr>
              <w:pStyle w:val="Compact"/>
              <w:jc w:val="center"/>
            </w:pPr>
            <w:r>
              <w:t xml:space="preserve">3.1×10⁻⁵ ²</w:t>
            </w:r>
          </w:p>
        </w:tc>
      </w:tr>
    </w:tbl>
    <w:p>
      <w:pPr>
        <w:pStyle w:val="BodyText"/>
      </w:pPr>
      <w:r>
        <w:t xml:space="preserve">¹ Wilcoxon signed-rank paired test against L0 (single-k NJ) within the same seed.</w:t>
      </w:r>
      <w:r>
        <w:t xml:space="preserve"> </w:t>
      </w:r>
      <w:r>
        <w:t xml:space="preserve">² The comparison of primary interest is L1 vs L3: paired Wilcoxon p=0.00247, L3 lower in 22/30 seeds, L1 lower in 7, one tie; paired Cohen’s d=0.64 (orientation L1 − L3, positive = L3 better).</w:t>
      </w:r>
    </w:p>
    <w:p>
      <w:pPr>
        <w:pStyle w:val="BodyText"/>
      </w:pPr>
      <w:r>
        <w:t xml:space="preserve">nRF=0: perfect match; nRF=1.0: random tree; nRF = RF/(2(n−3)). L0 and L1 trees are fully resolved (197 = n−3 splits); L3 trees carry 195–197 splits, FastTree2 occasionally leaving near-zero-length branches unresolved. All 30 seeds completed at every level; all three levels are compared within a single protocol and a single metric, so the level comparisons are internally fair.</w:t>
      </w:r>
      <w:r>
        <w:t xml:space="preserve"> </w:t>
      </w:r>
      <w:r>
        <w:rPr>
          <w:b/>
          <w:bCs/>
        </w:rPr>
        <w:t xml:space="preserve">Data provenance and withdrawal.</w:t>
      </w:r>
      <w:r>
        <w:t xml:space="preserve"> </w:t>
      </w:r>
      <w:r>
        <w:t xml:space="preserve">Earlier versions of this table reported L0=0.743, L1=0.583 and L3=0.601, produced from data generated by a hand-written coalescent simulator. We regenerated the benchmark with INDELible v1.03 under the same stated protocol and rescored it with the root-independent RF. The replacement data are</w:t>
      </w:r>
      <w:r>
        <w:t xml:space="preserve"> </w:t>
      </w:r>
      <w:r>
        <w:rPr>
          <w:i/>
          <w:iCs/>
        </w:rPr>
        <w:t xml:space="preserve">more</w:t>
      </w:r>
      <w:r>
        <w:t xml:space="preserve"> </w:t>
      </w:r>
      <w:r>
        <w:t xml:space="preserve">divergent, not less — mean root-to-tip distance 0.0573 subs/site (≈11.5% mean pairwise difference) versus 0.0172 subs/site (≈3.4%) for the old data — yet they give nRF values 4–5× lower. Greater divergence cannot yield lower topological error, so the old figures are not simply a harder realization of the same protocol; we regard them as defective and withdraw them. Under the replacement data the ordering of L1 and L3 reverses.</w:t>
      </w:r>
    </w:p>
    <w:p>
      <w:pPr>
        <w:pStyle w:val="BodyText"/>
      </w:pPr>
      <w:r>
        <w:t xml:space="preserve">Two findings emerge from this validation:</w:t>
      </w:r>
    </w:p>
    <w:p>
      <w:pPr>
        <w:numPr>
          <w:ilvl w:val="0"/>
          <w:numId w:val="1003"/>
        </w:numPr>
      </w:pPr>
      <w:r>
        <w:rPr>
          <w:b/>
          <w:bCs/>
        </w:rPr>
        <w:t xml:space="preserve">MAFFT+FastTree2 significantly outperforms the multi-k ensemble at this scale.</w:t>
      </w:r>
      <w:r>
        <w:t xml:space="preserve"> </w:t>
      </w:r>
      <w:r>
        <w:t xml:space="preserve">L3 (0.124 ± 0.026) achieves lower topological error than L1 (0.137 ± 0.023): mean per-seed difference (L1 − L3) = +0.0136, paired Wilcoxon p=0.00247, paired Cohen’s d=0.64, with L3 lower in 22/30 seeds and L1 lower in 7. This reverses the claim in earlier versions of this manuscript, which reported L1 as better than L3 (p=0.024, 19/30) on the defective data and under a biased nRF implementation. We therefore no longer claim that the multi-k ensemble reaches or exceeds MSA+ML accuracy under indel-rich conditions. What the benchmark supports is the narrower statement that an alignment-free multi-k ensemble comes within ~11% relative topological error of MAFFT+FastTree2 (0.137 vs 0.124) without ever computing a sequence alignment — and, given the Bonferroni context of the three pipeline-level pairwise comparisons (adjusted α=0.0167), even the direction of that gap should be read as established by the 22/30 win rate and the effect size rather than by the corrected p-value alone (adjusted p=0.007, which does survive).</w:t>
      </w:r>
    </w:p>
    <w:p>
      <w:pPr>
        <w:numPr>
          <w:ilvl w:val="0"/>
          <w:numId w:val="1003"/>
        </w:numPr>
      </w:pPr>
      <w:r>
        <w:rPr>
          <w:b/>
          <w:bCs/>
        </w:rPr>
        <w:t xml:space="preserve">Multi-k fusion provides an 8.7% relative accuracy improvement over single-k</w:t>
      </w:r>
      <w:r>
        <w:t xml:space="preserve">, reducing nRF from 0.150 to 0.137 (paired Wilcoxon p=0.00206, paired Cohen’s d=0.67, L1 lower in 19/30 seeds). This is a modest but reliable gain — considerably smaller than the 21.5% previously reported, which was computed on the defective data. Fusion also closes part of the gap to MSA+ML: L0 is 21% worse than L3 (0.150 vs 0.124; p=3.1×10⁻⁵, d=1.05), whereas L1 is 11% worse. The gain is therefore real but partial, and it does not overturn the advantage of alignment-based inference on data of this length and divergence.</w:t>
      </w:r>
    </w:p>
    <w:p>
      <w:pPr>
        <w:pStyle w:val="FirstParagraph"/>
      </w:pPr>
      <w:r>
        <w:t xml:space="preserve">These results position the multi-k ensemble NJ as a fast approximation to MSA+ML rather than a replacement for it at this scale. In our harness the two are comparable in wall-clock time (median 44.5 s per seed for L1 versus 39.0 s for L3, both dominated by distance-matrix construction and alignment respectively rather than by tree search), so we do not claim a speed advantage for the ensemble at n=200; its advantages are the absence of an alignment step, the absence of manual k selection, and a cost profile that does not grow with alignment difficulty. The practical takeaway for exploratory analysis is a favourable speed–accuracy trade-off, not parity with MSA+ML.</w:t>
      </w:r>
    </w:p>
    <w:p>
      <w:pPr>
        <w:pStyle w:val="BodyText"/>
      </w:pPr>
      <w:r>
        <w:rPr>
          <w:b/>
          <w:bCs/>
        </w:rPr>
        <w:t xml:space="preserve">Table 6. Boundary classifier validation (150 independent test scenarios, INDELible protocol).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150</w:t>
            </w:r>
          </w:p>
        </w:tc>
        <w:tc>
          <w:tcPr/>
          <w:p>
            <w:pPr>
              <w:pStyle w:val="Compact"/>
            </w:pPr>
            <w:r>
              <w:rPr>
                <w:b/>
                <w:bCs/>
              </w:rPr>
              <w:t xml:space="preserve">150</w:t>
            </w:r>
          </w:p>
        </w:tc>
        <w:tc>
          <w:tcPr/>
          <w:p>
            <w:pPr>
              <w:pStyle w:val="Compact"/>
            </w:pPr>
            <w:r>
              <w:rPr>
                <w:b/>
                <w:bCs/>
              </w:rPr>
              <w:t xml:space="preserve">100%</w:t>
            </w:r>
          </w:p>
        </w:tc>
        <w:tc>
          <w:tcPr/>
          <w:p>
            <w:pPr>
              <w:pStyle w:val="Compact"/>
            </w:pPr>
            <w:r>
              <w:rPr>
                <w:b/>
                <w:bCs/>
              </w:rPr>
              <w:t xml:space="preserve">[0.975, 1.000]</w:t>
            </w:r>
          </w:p>
        </w:tc>
      </w:tr>
    </w:tbl>
    <w:p>
      <w:pPr>
        <w:pStyle w:val="BodyText"/>
      </w:pPr>
      <w:r>
        <w:t xml:space="preserve">The classifier achieved perfect accuracy on both scenario types: it never incorrectly triggered splitting on homogeneous coalescent data (0% false positive rate across 75 scenarios) and never failed to split on structured data (0% false negative rate across 75 scenarios). The predicted SPLIT probabilities are cleanly separated between the two classes (coalescent: p_split ∈ [0.005, 0.193], mean 0.077; structured: p_split ∈ [0.605, 1.000], mean 0.871), leaving a wide margin around the 0.5 decision threshold. The Wilson binomial confidence interval [0.975, 1.000] for the overall accuracy indicates that the true population accuracy is at least 97.5%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150 diverse simulated scenarios provides strong evidence that the boundary classifier generalizes beyond its training distribution. We note that test accuracy (100%) exceeds cross-validation performance on the training set (ROC-AUC=0.831); this gap reflects that the E2E test scenarios occupy well-separated regions of the parameter space (purely homogeneous vs clearly structured phylogenies), and performance on borderline scenarios near the STOP/SPLIT decision boundary may be lower.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p>
      <w:pPr>
        <w:pStyle w:val="BodyText"/>
      </w:pPr>
      <w:r>
        <w:rPr>
          <w:b/>
          <w:bCs/>
        </w:rPr>
        <w:t xml:space="preserve">Table 7. Alignment-free method comparison on indel-rich data (n=200, sub=0.05, indel=0.02, 130 seeds 100–229). All nRF values are TRUE-relative (vs the simulated ground-truth tree).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(full pipeline)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 NJ</w:t>
            </w:r>
          </w:p>
        </w:tc>
        <w:tc>
          <w:tcPr/>
          <w:p>
            <w:pPr>
              <w:pStyle w:val="Compact"/>
            </w:pPr>
            <w:r>
              <w:rPr>
                <w:b/>
                <w:bCs/>
              </w:rPr>
              <w:t xml:space="preserve">0.1938</w:t>
            </w:r>
          </w:p>
        </w:tc>
        <w:tc>
          <w:tcPr/>
          <w:p>
            <w:pPr>
              <w:pStyle w:val="Compact"/>
            </w:pPr>
            <w:r>
              <w:t xml:space="preserve">0.0295</w:t>
            </w:r>
          </w:p>
        </w:tc>
        <w:tc>
          <w:tcPr/>
          <w:p>
            <w:pPr>
              <w:pStyle w:val="Compact"/>
              <w:jc w:val="center"/>
            </w:pPr>
            <w:r>
              <w:rPr>
                <w:b/>
                <w:bCs/>
              </w:rPr>
              <w:t xml:space="preserve">better</w:t>
            </w:r>
            <w:r>
              <w:t xml:space="preserve"> </w:t>
            </w:r>
            <w:r>
              <w:t xml:space="preserve">(k=7 wins 76/130, p=3.9×10⁻³, d=+0.252)</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 NJ</w:t>
            </w:r>
          </w:p>
        </w:tc>
        <w:tc>
          <w:tcPr/>
          <w:p>
            <w:pPr>
              <w:pStyle w:val="Compact"/>
            </w:pPr>
            <w:r>
              <w:rPr>
                <w:b/>
                <w:bCs/>
              </w:rPr>
              <w:t xml:space="preserve">0.1940</w:t>
            </w:r>
          </w:p>
        </w:tc>
        <w:tc>
          <w:tcPr/>
          <w:p>
            <w:pPr>
              <w:pStyle w:val="Compact"/>
            </w:pPr>
            <w:r>
              <w:t xml:space="preserve">0.0296</w:t>
            </w:r>
          </w:p>
        </w:tc>
        <w:tc>
          <w:tcPr/>
          <w:p>
            <w:pPr>
              <w:pStyle w:val="Compact"/>
              <w:jc w:val="center"/>
            </w:pPr>
            <w:r>
              <w:rPr>
                <w:b/>
                <w:bCs/>
              </w:rPr>
              <w:t xml:space="preserve">better</w:t>
            </w:r>
            <w:r>
              <w:t xml:space="preserve"> </w:t>
            </w:r>
            <w:r>
              <w:t xml:space="preserve">(ensemble wins 72/130, p=7.7×10⁻³, d=+0.246)</w:t>
            </w:r>
          </w:p>
        </w:tc>
      </w:tr>
      <w:tr>
        <w:tc>
          <w:tcPr/>
          <w:p>
            <w:pPr>
              <w:pStyle w:val="Compact"/>
            </w:pPr>
            <w:r>
              <w:rPr>
                <w:b/>
                <w:bCs/>
              </w:rPr>
              <w:t xml:space="preserve">Fusang</w:t>
            </w:r>
            <w:r>
              <w:t xml:space="preserve"> </w:t>
            </w:r>
            <w:r>
              <w:t xml:space="preserve">(k=5,gap2, spaced) + BME-NNI</w:t>
            </w:r>
          </w:p>
        </w:tc>
        <w:tc>
          <w:tcPr/>
          <w:p>
            <w:pPr>
              <w:pStyle w:val="Compact"/>
            </w:pPr>
            <w:r>
              <w:t xml:space="preserve">Spaced k-mer, full pipeline</w:t>
            </w:r>
          </w:p>
        </w:tc>
        <w:tc>
          <w:tcPr/>
          <w:p>
            <w:pPr>
              <w:pStyle w:val="Compact"/>
            </w:pPr>
            <w:r>
              <w:rPr>
                <w:b/>
                <w:bCs/>
              </w:rPr>
              <w:t xml:space="preserve">0.1990</w:t>
            </w:r>
          </w:p>
        </w:tc>
        <w:tc>
          <w:tcPr/>
          <w:p>
            <w:pPr>
              <w:pStyle w:val="Compact"/>
            </w:pPr>
            <w:r>
              <w:t xml:space="preserve">0.0296</w:t>
            </w:r>
          </w:p>
        </w:tc>
        <w:tc>
          <w:tcPr/>
          <w:p>
            <w:pPr>
              <w:pStyle w:val="Compact"/>
              <w:jc w:val="center"/>
            </w:pPr>
            <w:r>
              <w:t xml:space="preserve">— (baseline)</w:t>
            </w:r>
          </w:p>
        </w:tc>
      </w:tr>
      <w:tr>
        <w:tc>
          <w:tcPr/>
          <w:p>
            <w:pPr>
              <w:pStyle w:val="Compact"/>
            </w:pPr>
            <w:r>
              <w:rPr>
                <w:b/>
                <w:bCs/>
              </w:rPr>
              <w:t xml:space="preserve">Fusang</w:t>
            </w:r>
            <w:r>
              <w:t xml:space="preserve"> </w:t>
            </w:r>
            <w:r>
              <w:t xml:space="preserve">(k=5,gap2, spaced), NJ only</w:t>
            </w:r>
          </w:p>
        </w:tc>
        <w:tc>
          <w:tcPr/>
          <w:p>
            <w:pPr>
              <w:pStyle w:val="Compact"/>
            </w:pPr>
            <w:r>
              <w:t xml:space="preserve">Spaced k-mer, no NNI</w:t>
            </w:r>
          </w:p>
        </w:tc>
        <w:tc>
          <w:tcPr/>
          <w:p>
            <w:pPr>
              <w:pStyle w:val="Compact"/>
            </w:pPr>
            <w:r>
              <w:rPr>
                <w:b/>
                <w:bCs/>
              </w:rPr>
              <w:t xml:space="preserve">0.2003</w:t>
            </w:r>
          </w:p>
        </w:tc>
        <w:tc>
          <w:tcPr/>
          <w:p>
            <w:pPr>
              <w:pStyle w:val="Compact"/>
            </w:pPr>
            <w:r>
              <w:t xml:space="preserve">0.0296</w:t>
            </w:r>
          </w:p>
        </w:tc>
        <w:tc>
          <w:tcPr/>
          <w:p>
            <w:pPr>
              <w:pStyle w:val="Compact"/>
              <w:jc w:val="center"/>
            </w:pPr>
            <w:r>
              <w:t xml:space="preserve">n.s. (p=0.34)</w:t>
            </w:r>
          </w:p>
        </w:tc>
      </w:tr>
      <w:tr>
        <w:tc>
          <w:tcPr/>
          <w:p>
            <w:pPr>
              <w:pStyle w:val="Compact"/>
            </w:pPr>
            <w:r>
              <w:rPr>
                <w:b/>
                <w:bCs/>
              </w:rPr>
              <w:t xml:space="preserve">K-mer cosine k=9</w:t>
            </w:r>
            <w:r>
              <w:t xml:space="preserve"> </w:t>
            </w:r>
            <w:r>
              <w:t xml:space="preserve">(contiguous)</w:t>
            </w:r>
          </w:p>
        </w:tc>
        <w:tc>
          <w:tcPr/>
          <w:p>
            <w:pPr>
              <w:pStyle w:val="Compact"/>
            </w:pPr>
            <w:r>
              <w:t xml:space="preserve">Frequency vector, NJ</w:t>
            </w:r>
          </w:p>
        </w:tc>
        <w:tc>
          <w:tcPr/>
          <w:p>
            <w:pPr>
              <w:pStyle w:val="Compact"/>
            </w:pPr>
            <w:r>
              <w:rPr>
                <w:b/>
                <w:bCs/>
              </w:rPr>
              <w:t xml:space="preserve">0.2005</w:t>
            </w:r>
          </w:p>
        </w:tc>
        <w:tc>
          <w:tcPr/>
          <w:p>
            <w:pPr>
              <w:pStyle w:val="Compact"/>
            </w:pPr>
            <w:r>
              <w:t xml:space="preserve">0.0299</w:t>
            </w:r>
          </w:p>
        </w:tc>
        <w:tc>
          <w:tcPr/>
          <w:p>
            <w:pPr>
              <w:pStyle w:val="Compact"/>
              <w:jc w:val="center"/>
            </w:pPr>
            <w:r>
              <w:t xml:space="preserve">n.s. (p=0.377)</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0.2047</w:t>
            </w:r>
          </w:p>
        </w:tc>
        <w:tc>
          <w:tcPr/>
          <w:p>
            <w:pPr>
              <w:pStyle w:val="Compact"/>
            </w:pPr>
            <w:r>
              <w:t xml:space="preserve">0.0299</w:t>
            </w:r>
          </w:p>
        </w:tc>
        <w:tc>
          <w:tcPr/>
          <w:p>
            <w:pPr>
              <w:pStyle w:val="Compact"/>
              <w:jc w:val="center"/>
            </w:pPr>
            <w:r>
              <w:t xml:space="preserve">1.03× worse (p=0.0507, borderline — not significant at α=0.05)</w:t>
            </w:r>
          </w:p>
        </w:tc>
      </w:tr>
      <w:tr>
        <w:tc>
          <w:tcPr/>
          <w:p>
            <w:pPr>
              <w:pStyle w:val="Compact"/>
            </w:pPr>
            <w:r>
              <w:rPr>
                <w:b/>
                <w:bCs/>
              </w:rPr>
              <w:t xml:space="preserve">K-mer cosine k=5</w:t>
            </w:r>
            <w:r>
              <w:t xml:space="preserve"> </w:t>
            </w:r>
            <w:r>
              <w:t xml:space="preserve">(contiguous)</w:t>
            </w:r>
          </w:p>
        </w:tc>
        <w:tc>
          <w:tcPr/>
          <w:p>
            <w:pPr>
              <w:pStyle w:val="Compact"/>
            </w:pPr>
            <w:r>
              <w:t xml:space="preserve">Frequency vector, NJ</w:t>
            </w:r>
          </w:p>
        </w:tc>
        <w:tc>
          <w:tcPr/>
          <w:p>
            <w:pPr>
              <w:pStyle w:val="Compact"/>
            </w:pPr>
            <w:r>
              <w:rPr>
                <w:b/>
                <w:bCs/>
              </w:rPr>
              <w:t xml:space="preserve">0.2078</w:t>
            </w:r>
          </w:p>
        </w:tc>
        <w:tc>
          <w:tcPr/>
          <w:p>
            <w:pPr>
              <w:pStyle w:val="Compact"/>
            </w:pPr>
            <w:r>
              <w:t xml:space="preserve">0.0314</w:t>
            </w:r>
          </w:p>
        </w:tc>
        <w:tc>
          <w:tcPr/>
          <w:p>
            <w:pPr>
              <w:pStyle w:val="Compact"/>
              <w:jc w:val="center"/>
            </w:pPr>
            <w:r>
              <w:t xml:space="preserve">worse (p=4.96×10⁻⁵, d=−0.385)</w:t>
            </w:r>
          </w:p>
        </w:tc>
      </w:tr>
      <w:tr>
        <w:tc>
          <w:tcPr/>
          <w:p>
            <w:pPr>
              <w:pStyle w:val="Compact"/>
            </w:pPr>
            <w:r>
              <w:rPr>
                <w:b/>
                <w:bCs/>
              </w:rPr>
              <w:t xml:space="preserve">kmacs</w:t>
            </w:r>
            <w:r>
              <w:t xml:space="preserve"> </w:t>
            </w:r>
            <w:r>
              <w:t xml:space="preserve">(Leimeister &amp; Morgenstern 2014), k=3</w:t>
            </w:r>
          </w:p>
        </w:tc>
        <w:tc>
          <w:tcPr/>
          <w:p>
            <w:pPr>
              <w:pStyle w:val="Compact"/>
            </w:pPr>
            <w:r>
              <w:t xml:space="preserve">k-mismatch ACS (best of k∈{3,5,10})</w:t>
            </w:r>
          </w:p>
        </w:tc>
        <w:tc>
          <w:tcPr/>
          <w:p>
            <w:pPr>
              <w:pStyle w:val="Compact"/>
            </w:pPr>
            <w:r>
              <w:rPr>
                <w:b/>
                <w:bCs/>
              </w:rPr>
              <w:t xml:space="preserve">0.3656</w:t>
            </w:r>
          </w:p>
        </w:tc>
        <w:tc>
          <w:tcPr/>
          <w:p>
            <w:pPr>
              <w:pStyle w:val="Compact"/>
            </w:pPr>
            <w:r>
              <w:t xml:space="preserve">0.0389</w:t>
            </w:r>
          </w:p>
        </w:tc>
        <w:tc>
          <w:tcPr/>
          <w:p>
            <w:pPr>
              <w:pStyle w:val="Compact"/>
              <w:jc w:val="center"/>
            </w:pPr>
            <w:r>
              <w:t xml:space="preserve">1.8× worse (p=4.34×10⁻²³, d=−4.838)</w:t>
            </w:r>
          </w:p>
        </w:tc>
      </w:tr>
      <w:tr>
        <w:tc>
          <w:tcPr/>
          <w:p>
            <w:pPr>
              <w:pStyle w:val="Compact"/>
            </w:pPr>
            <w:r>
              <w:rPr>
                <w:b/>
                <w:bCs/>
              </w:rPr>
              <w:t xml:space="preserve">kmacs</w:t>
            </w:r>
            <w:r>
              <w:t xml:space="preserve">, k=5</w:t>
            </w:r>
          </w:p>
        </w:tc>
        <w:tc>
          <w:tcPr/>
          <w:p>
            <w:pPr>
              <w:pStyle w:val="Compact"/>
            </w:pPr>
            <w:r>
              <w:t xml:space="preserve">k-mismatch ACS</w:t>
            </w:r>
          </w:p>
        </w:tc>
        <w:tc>
          <w:tcPr/>
          <w:p>
            <w:pPr>
              <w:pStyle w:val="Compact"/>
            </w:pPr>
            <w:r>
              <w:t xml:space="preserve">0.4125</w:t>
            </w:r>
          </w:p>
        </w:tc>
        <w:tc>
          <w:tcPr/>
          <w:p>
            <w:pPr>
              <w:pStyle w:val="Compact"/>
            </w:pPr>
            <w:r>
              <w:t xml:space="preserve">0.0385</w:t>
            </w:r>
          </w:p>
        </w:tc>
        <w:tc>
          <w:tcPr/>
          <w:p>
            <w:pPr>
              <w:pStyle w:val="Compact"/>
              <w:jc w:val="center"/>
            </w:pPr>
            <w:r>
              <w:t xml:space="preserve">2.1× worse (p=4.32×10⁻²³)</w:t>
            </w:r>
          </w:p>
        </w:tc>
      </w:tr>
      <w:tr>
        <w:tc>
          <w:tcPr/>
          <w:p>
            <w:pPr>
              <w:pStyle w:val="Compact"/>
            </w:pPr>
            <w:r>
              <w:rPr>
                <w:b/>
                <w:bCs/>
              </w:rPr>
              <w:t xml:space="preserve">kmacs</w:t>
            </w:r>
            <w:r>
              <w:t xml:space="preserve">, k=10</w:t>
            </w:r>
          </w:p>
        </w:tc>
        <w:tc>
          <w:tcPr/>
          <w:p>
            <w:pPr>
              <w:pStyle w:val="Compact"/>
            </w:pPr>
            <w:r>
              <w:t xml:space="preserve">k-mismatch ACS</w:t>
            </w:r>
          </w:p>
        </w:tc>
        <w:tc>
          <w:tcPr/>
          <w:p>
            <w:pPr>
              <w:pStyle w:val="Compact"/>
            </w:pPr>
            <w:r>
              <w:t xml:space="preserve">0.4517</w:t>
            </w:r>
          </w:p>
        </w:tc>
        <w:tc>
          <w:tcPr/>
          <w:p>
            <w:pPr>
              <w:pStyle w:val="Compact"/>
            </w:pPr>
            <w:r>
              <w:t xml:space="preserve">0.0399</w:t>
            </w:r>
          </w:p>
        </w:tc>
        <w:tc>
          <w:tcPr/>
          <w:p>
            <w:pPr>
              <w:pStyle w:val="Compact"/>
              <w:jc w:val="center"/>
            </w:pPr>
            <w:r>
              <w:t xml:space="preserve">2.3× worse (p=4.33×10⁻²³)</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t xml:space="preserve">0.8812</w:t>
            </w:r>
          </w:p>
        </w:tc>
        <w:tc>
          <w:tcPr/>
          <w:p>
            <w:pPr>
              <w:pStyle w:val="Compact"/>
            </w:pPr>
            <w:r>
              <w:t xml:space="preserve">0.0353</w:t>
            </w:r>
          </w:p>
        </w:tc>
        <w:tc>
          <w:tcPr/>
          <w:p>
            <w:pPr>
              <w:pStyle w:val="Compact"/>
              <w:jc w:val="center"/>
            </w:pPr>
            <w:r>
              <w:t xml:space="preserve">4.4× worse (p=4.35×10⁻²³)</w:t>
            </w:r>
          </w:p>
        </w:tc>
      </w:tr>
    </w:tbl>
    <w:p>
      <w:pPr>
        <w:pStyle w:val="BodyText"/>
      </w:pPr>
      <w:r>
        <w:t xml:space="preserve">Rows are ordered by mean nRF (most accurate first); the full Fusang pipeline is marked as the baseline for the right-hand column. nRF=0: perfect match; nRF=1.0: random tree. All alignment-free baselines (Co-phylog, kmacs, contiguous single-k, multi-k ensemble, and the NJ-only Fusang row) use neighbour-joining (BioPython) without NNI refinement; the full-pipeline Fusang row is the CLI product (NJ plus BME-scored NNI refinement, applied at n≥100). Wilcoxon signed-rank tests vs the full-pipeline Fusang configuration; paired Cohen’s d is computed as the mean per-seed difference (Fusang − comparator) divided by its SD, so a</w:t>
      </w:r>
      <w:r>
        <w:t xml:space="preserve"> </w:t>
      </w:r>
      <w:r>
        <w:rPr>
          <w:b/>
          <w:bCs/>
        </w:rPr>
        <w:t xml:space="preserve">negative</w:t>
      </w:r>
      <w:r>
        <w:t xml:space="preserve"> </w:t>
      </w:r>
      <w:r>
        <w:t xml:space="preserve">d means Fusang is more accurate and a positive d means the comparator is more accurate: Co-phylog p=4.35×10⁻²³ (d=−15.40), kmacs k=3 p=4.34×10⁻²³ (d=−4.84), k-mer cosine k=5 p=4.96×10⁻⁵ (d=−0.385), k=7 p=3.9×10⁻³ (d=+0.252), k=9 p=0.377 (n.s.), multi-k ensemble p=7.7×10⁻³ (d=+0.246), Fusang NJ-only p=0.34 (n.s.), FastTree2 p=0.0507 (d=−0.201; borderline — not significant at α=0.05).</w:t>
      </w:r>
      <w:r>
        <w:t xml:space="preserve"> </w:t>
      </w:r>
      <w:r>
        <w:t xml:space="preserve">“×worse”</w:t>
      </w:r>
      <w:r>
        <w:t xml:space="preserve"> </w:t>
      </w:r>
      <w:r>
        <w:t xml:space="preserve">is the ratio of the row mean to the 0.1990 baseline. In the FT2-relative frame (footnote values) the classical methods keep the same ordering (Co-phylog 0.8799, kmacs k=3 0.3815) and the two best k-mer configurations remain significantly better than Fusang (cosine k=7 p=4.5×10⁻⁶, ensemble p=1.24×10⁻⁴), but cosine k=5 (0.2240 vs Fusang 0.2246, p=0.48) and k=9 (p=0.74) are inseparable from it, and the spaced-vs-contiguous k=5 contrast is not significant in that frame (p=0.42) — consistent with the poor discriminability of the FT2 reference noted above. FT2-relative means (vs the FastTree2 tree of the same seed): Fusang CLI 0.2246, cosine k=5 0.2240, k=7 0.2166, k=9 0.2251, multi-k ensemble 0.2185, spaced NJ-only 0.2218, Co-phylog 0.8799, kmacs k=3 0.3815.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d=−15.40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4"/>
        </w:numPr>
      </w:pPr>
      <w:r>
        <w:rPr>
          <w:b/>
          <w:bCs/>
        </w:rPr>
        <w:t xml:space="preserve">Co-phylog fails under indel-rich conditions.</w:t>
      </w:r>
      <w:r>
        <w:t xml:space="preserve"> </w:t>
      </w:r>
      <w:r>
        <w:t xml:space="preserve">Co-phylog’s context-object approach (k=19) produces substantially worse trees (TRUE-relative mean nRF=0.8812 ± 0.0353, 4.4× worse than Fusang, 0/130 wins, p=4.35×10⁻²³, paired d=−15.40)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 (Co-phylog results are from our Python reimplementation, Supplementary Note S4; on the fish benchmark — see Real genome benchmarks below — the reimplementation slightly exceeds the published configuration’s accuracy, indicating the reimplementation is not disadvantaged relative to the original; the DNA conclusion here is therefore conservative in direction.)</w:t>
      </w:r>
    </w:p>
    <w:p>
      <w:pPr>
        <w:numPr>
          <w:ilvl w:val="0"/>
          <w:numId w:val="1004"/>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(TRUE-relative: k=3 0.3656 ± 0.0389, k=5 0.4125 ± 0.0385, k=10 0.4517 ± 0.0399; all 0/130 wins vs Fusang); we report the best configuration (k=3). Even at its best, kmacs achieves nRF=0.3656 ± 0.0389, 1.8× worse than Fusang (paired Wilcoxon p=4.34×10⁻²³, paired d=−4.84) — though far more robust than Co-phylog (0.8812). Substring-matching distances are sensitive to indel-disrupted substring sharing even with k-mismatch tolerance, whereas k-mer frequency vectors degrade gracefully because indels perturb frequencies rather than destroy matches.</w:t>
      </w:r>
    </w:p>
    <w:p>
      <w:pPr>
        <w:numPr>
          <w:ilvl w:val="0"/>
          <w:numId w:val="1004"/>
        </w:numPr>
      </w:pPr>
      <w:r>
        <w:rPr>
          <w:b/>
          <w:bCs/>
        </w:rPr>
        <w:t xml:space="preserve">Spaced k-mers keep — and strengthen — their advantage on indel-rich DNA, whereas NNI refinement adds no detectable gain, and two contiguous configurations beat the default pipeline at this scale.</w:t>
      </w:r>
      <w:r>
        <w:t xml:space="preserve"> </w:t>
      </w:r>
      <w:r>
        <w:t xml:space="preserve">Three separable results follow from Table 7.</w:t>
      </w:r>
    </w:p>
    <w:p>
      <w:pPr>
        <w:numPr>
          <w:ilvl w:val="1"/>
          <w:numId w:val="1005"/>
        </w:numPr>
      </w:pPr>
      <w:r>
        <w:rPr>
          <w:i/>
          <w:iCs/>
        </w:rPr>
        <w:t xml:space="preserve">Spaced versus contiguous, like-for-like.</w:t>
      </w:r>
      <w:r>
        <w:t xml:space="preserve"> </w:t>
      </w:r>
      <w:r>
        <w:t xml:space="preserve">Comparing NJ trees with no NNI on either side, Fusang’s spaced k=5,gap2 configuration (0.2003 ± 0.0296) significantly outperforms the contiguous k=5 cosine baseline (0.2078 ± 0.0314): spaced is more accurate on 75/130 seeds, contiguous on 46, with 9 ties, paired Wilcoxon p=5.54×10⁻⁴, paired d=−0.337. Under the superseded nRF implementation we reported 68/130 and p=7.97×10⁻³, so the advantage survives the switch to the standard root-independent RF and is if anything slightly stronger. It remains frame-specific: on the same 130 seeds the FT2-relative version of the identical contrast is not significant (spaced better in 60, contiguous in 63, 7 ties, p=0.42), continuing the pattern — already seen in our earlier underpowered 27-seed FT2-relative test (p=0.26) — that the FT2 reference frame masks real differences. On the protein benchmark the spaced advantage we previously reported (p=0.0078) does not survive the metric change (Table 10; p=0.64 and p=0.094), so the evidence for spaced patterns in this work rests on indel-rich DNA alone and we do not claim that gap content alone predicts a spaced-pattern gain. The DNA result is consistent with the proposed mechanism — spaced patterns recover k-mers that would otherwise be destroyed by an insertion or deletion falling inside their span, so their benefit should grow with indel content.</w:t>
      </w:r>
    </w:p>
    <w:p>
      <w:pPr>
        <w:numPr>
          <w:ilvl w:val="1"/>
          <w:numId w:val="1005"/>
        </w:numPr>
      </w:pPr>
      <w:r>
        <w:rPr>
          <w:i/>
          <w:iCs/>
        </w:rPr>
        <w:t xml:space="preserve">NNI refinement provides no significant gain.</w:t>
      </w:r>
      <w:r>
        <w:t xml:space="preserve"> </w:t>
      </w:r>
      <w:r>
        <w:t xml:space="preserve">The full pipeline (0.1990 ± 0.0296) is not significantly better than the pure-NJ spaced tree (0.2003 ± 0.0296): full pipeline better in 54 seeds, NJ-only better in 50, 26 ties, paired Wilcoxon p=0.34, paired d=−0.092. The claim in earlier versions that BME-scored NNI refinement contributes a further significant gain (better on 100/130 seeds, p=7.1×10⁻¹³, d=0.76) is</w:t>
      </w:r>
      <w:r>
        <w:t xml:space="preserve"> </w:t>
      </w:r>
      <w:r>
        <w:rPr>
          <w:b/>
          <w:bCs/>
        </w:rPr>
        <w:t xml:space="preserve">withdrawn</w:t>
      </w:r>
      <w:r>
        <w:t xml:space="preserve">: it was produced by the superseded nRF implementation. NNI refinement remains in the default pipeline as a low-cost, never-harmful-on-average step, but at L=500 bp we can no longer claim it improves accuracy.</w:t>
      </w:r>
    </w:p>
    <w:p>
      <w:pPr>
        <w:numPr>
          <w:ilvl w:val="1"/>
          <w:numId w:val="1005"/>
        </w:numPr>
      </w:pPr>
      <w:r>
        <w:rPr>
          <w:i/>
          <w:iCs/>
        </w:rPr>
        <w:t xml:space="preserve">An honest negative for the default configuration.</w:t>
      </w:r>
      <w:r>
        <w:t xml:space="preserve"> </w:t>
      </w:r>
      <w:r>
        <w:t xml:space="preserve">At gene length (L=500 bp) two configurations are significantly more accurate than the default Fusang pipeline: contiguous k=7 (0.1938 ± 0.0295; k=7 better in 76/130 seeds, Fusang better in 42, 12 ties, p=3.9×10⁻³, d=+0.252) and the multi-k ensemble (0.1940 ± 0.0296; ensemble better in 72/130, Fusang better in 46, 12 ties, p=7.7×10⁻³, d=+0.246), while contiguous k=9 (0.2005) is statistically indistinguishable from it (p=0.377). We therefore no longer describe the default spaced k=5 + BME-NNI configuration as the most accurate Fusang setting at this scale: it is a robust default, but users seeking maximum accuracy on gene-length data of this divergence should prefer contiguous k=7 or the multi-k ensemble (Table 4; see also Practical recommendations).</w:t>
      </w:r>
    </w:p>
    <w:p>
      <w:pPr>
        <w:pStyle w:val="FirstParagraph"/>
      </w:pPr>
      <w:r>
        <w:rPr>
          <w:b/>
          <w:bCs/>
        </w:rPr>
        <w:t xml:space="preserve">Multi-k ensemble.</w:t>
      </w:r>
      <w:r>
        <w:t xml:space="preserve"> </w:t>
      </w:r>
      <w:r>
        <w:t xml:space="preserve">On this 130-seed INDELible benchmark the multi-k ensemble (contiguous k=5,7,9 average, NJ) achieves TRUE-relative nRF=0.1940 ± 0.0296 — significantly better than the contiguous k=5 baseline (0.2078; ensemble better in 93/130, p=2.22×10⁻¹², d=0.755), than contiguous k=9 (0.2005; 81/130, p=9.10×10⁻⁸, d=0.517), than the NJ-only spaced configuration (0.2003; 74/130, p=1.13×10⁻³, d=0.317) and than the full Fusang pipeline (0.1990; 72/130, p=7.7×10⁻³, d=0.246), while remaining statistically indistinguishable from contiguous k=7 (0.1938; 48/130, p=0.669). In contrast to earlier versions of this manuscript, we therefore claim an accuracy advantage of the multi-k ensemble over the default spaced configuration at L=500 bp — a small one (0.0050 nRF, d=0.246), but significant and reproducible across 130 seeds. Table 4 examines the ensemble against its single-k components in detail. The ensemble’s other established benefits are (i) the single-k→multi-k gain under the L=1000 bp protocol (Table 5, d=0.67, p=0.00206; an 8.7% relative reduction in nRF, 0.150→0.137) and (ii) the automatic rescue of the saturating gene-scale default at genome scale (see Real genome benchmarks below).</w:t>
      </w:r>
    </w:p>
    <w:p>
      <w:pPr>
        <w:pStyle w:val="BodyText"/>
      </w:pPr>
      <w:r>
        <w:rPr>
          <w:b/>
          <w:bCs/>
        </w:rPr>
        <w:t xml:space="preserve">Regarding andi</w:t>
      </w:r>
      <w:r>
        <w:t xml:space="preserve"> </w:t>
      </w:r>
      <w:r>
        <w:t xml:space="preserve">[25]: andi uses suffix-array-based anchor distances designed for genome-scale sequences (&gt;10kb). On gene-length sequences (~500 bp), andi’s anchor-finding mechanism has insufficient maximal unique matches for reliable distance estimation. In our harness andi returned no usable tree on the gene-length families we attempted, so we report</w:t>
      </w:r>
      <w:r>
        <w:t xml:space="preserve"> </w:t>
      </w:r>
      <w:r>
        <w:rPr>
          <w:b/>
          <w:bCs/>
        </w:rPr>
        <w:t xml:space="preserve">no accuracy figure</w:t>
      </w:r>
      <w:r>
        <w:t xml:space="preserve"> </w:t>
      </w:r>
      <w:r>
        <w:t xml:space="preserve">for it — the run record (</w:t>
      </w:r>
      <w:r>
        <w:rPr>
          <w:rStyle w:val="VerbatimChar"/>
        </w:rPr>
        <w:t xml:space="preserve">benchmark_andi_results.json</w:t>
      </w:r>
      <w:r>
        <w:t xml:space="preserve">) captures timings only, with null tree fields for every replicate. We therefore characterise this as a design-domain mismatch rather than a measured accuracy result.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estimates distances from genome skims through a k-mer depth-spectrum coverage and error-correction model. On our 500-bp single-gene benchmark data (INDELible n=200), Skmer</w:t>
      </w:r>
      <w:r>
        <w:t xml:space="preserve"> </w:t>
      </w:r>
      <w:r>
        <w:rPr>
          <w:i/>
          <w:iCs/>
        </w:rPr>
        <w:t xml:space="preserve">completes</w:t>
      </w:r>
      <w:r>
        <w:t xml:space="preserve"> </w:t>
      </w:r>
      <w:r>
        <w:t xml:space="preserve">without error at both the default k=31 and at k=21, but its coverage model is inoperative: every sequence reports</w:t>
      </w:r>
      <w:r>
        <w:t xml:space="preserve"> </w:t>
      </w:r>
      <w:r>
        <w:t xml:space="preserve">“coverage too low, not able to estimate it; no correction applied”</w:t>
      </w:r>
      <w:r>
        <w:t xml:space="preserve">, because at gene length each k-mer occurs approximately once (0/200 sequences contain any repeated 21-mer or 31-mer), producing degenerate depth-1 histograms on which the coverage model cannot operate. The resulting uncorrected distance matrices are dominated by capped sentinel values (45.1% of off-diagonal pairs at k=31; 5.6% at k=21), and NJ trees built from them score nRF=0.782 (k=31) / 0.614 (k=21) against the seed-100 true tree under the standard root-independent unrooted RF (rescoring:</w:t>
      </w:r>
      <w:r>
        <w:t xml:space="preserve"> </w:t>
      </w:r>
      <w:r>
        <w:rPr>
          <w:rStyle w:val="VerbatimChar"/>
        </w:rPr>
        <w:t xml:space="preserve">repro_ablations/skmer_probe_nrfstandard.py</w:t>
      </w:r>
      <w:r>
        <w:t xml:space="preserve">; the earlier values 0.320/0.315, produced by the superseded root-dependent nRF implementation, are withdrawn) — 2.2–2.9× Fusang’s error on the same seed (0.274) and worse than every tested competitor except Co-phylog. Skmer is therefore functionally inapplicable to gene-length phylogenetic inference — an outcome parallel to andi, whose suffix-array anchors likewise require genome-scale input. Both cases reflect design-domain mismatches rather than methodological weaknesses. (Versioning note: the bioconda package labelled skmer 3.3.0 ships skmer 3.1.0 code; we verified both environments install byte-identical</w:t>
      </w:r>
      <w:r>
        <w:t xml:space="preserve"> </w:t>
      </w:r>
      <w:r>
        <w:rPr>
          <w:rStyle w:val="VerbatimChar"/>
        </w:rPr>
        <w:t xml:space="preserve">__main__.py</w:t>
      </w:r>
      <w:r>
        <w:t xml:space="preserve">. An earlier record of a division-by-zero failure traced to a now-superseded dataset whose depth histograms contained interior zero counts; on the current benchmark data the estimator’s graceful</w:t>
      </w:r>
      <w:r>
        <w:t xml:space="preserve"> </w:t>
      </w:r>
      <w:r>
        <w:t xml:space="preserve">“coverage too low”</w:t>
      </w:r>
      <w:r>
        <w:t xml:space="preserve"> </w:t>
      </w:r>
      <w:r>
        <w:t xml:space="preserve">branch is taken instead. Full audit trail:</w:t>
      </w:r>
      <w:r>
        <w:t xml:space="preserve"> </w:t>
      </w:r>
      <w:r>
        <w:rPr>
          <w:rStyle w:val="VerbatimChar"/>
        </w:rPr>
        <w:t xml:space="preserve">repro_ablations/_skmer_probe/FINDINGS.md</w:t>
      </w:r>
      <w:r>
        <w:t xml:space="preserve">.)</w:t>
      </w:r>
    </w:p>
    <w:p>
      <w:pPr>
        <w:pStyle w:val="BodyText"/>
      </w:pPr>
      <w:r>
        <w:rPr>
          <w:b/>
          <w:bCs/>
        </w:rPr>
        <w:t xml:space="preserve">Table 8. Optimal parameters and nRF stability across dataset scales (INDELible birth–death protocol; 130 seeds for n=50/100/200, 30 seeds for n=500/1000).</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0.232 ± 0.072</w:t>
            </w:r>
          </w:p>
        </w:tc>
        <w:tc>
          <w:tcPr/>
          <w:p>
            <w:pPr>
              <w:pStyle w:val="Compact"/>
            </w:pPr>
            <w:r>
              <w:rPr>
                <w:b/>
                <w:bCs/>
              </w:rPr>
              <w:t xml:space="preserve">0.210 ± 0.067</w:t>
            </w:r>
          </w:p>
        </w:tc>
        <w:tc>
          <w:tcPr/>
          <w:p>
            <w:pPr>
              <w:pStyle w:val="Compact"/>
            </w:pPr>
            <w:r>
              <w:t xml:space="preserve">FT2 better (clean, p=1.3×10⁻⁵) §</w:t>
            </w:r>
          </w:p>
        </w:tc>
      </w:tr>
      <w:tr>
        <w:tc>
          <w:tcPr/>
          <w:p>
            <w:pPr>
              <w:pStyle w:val="Compact"/>
            </w:pPr>
            <w:r>
              <w:t xml:space="preserve">100</w:t>
            </w:r>
          </w:p>
        </w:tc>
        <w:tc>
          <w:tcPr/>
          <w:p>
            <w:pPr>
              <w:pStyle w:val="Compact"/>
              <w:jc w:val="center"/>
            </w:pPr>
            <w:r>
              <w:t xml:space="preserve">5,gap2</w:t>
            </w:r>
          </w:p>
        </w:tc>
        <w:tc>
          <w:tcPr/>
          <w:p>
            <w:pPr>
              <w:pStyle w:val="Compact"/>
            </w:pPr>
            <w:r>
              <w:t xml:space="preserve">0.234 ± 0.045</w:t>
            </w:r>
          </w:p>
        </w:tc>
        <w:tc>
          <w:tcPr/>
          <w:p>
            <w:pPr>
              <w:pStyle w:val="Compact"/>
            </w:pPr>
            <w:r>
              <w:rPr>
                <w:b/>
                <w:bCs/>
              </w:rPr>
              <w:t xml:space="preserve">0.209 ± 0.045</w:t>
            </w:r>
          </w:p>
        </w:tc>
        <w:tc>
          <w:tcPr/>
          <w:p>
            <w:pPr>
              <w:pStyle w:val="Compact"/>
            </w:pPr>
            <w:r>
              <w:t xml:space="preserve">FT2 better (clean, p=1.2×10⁻¹⁰) §</w:t>
            </w:r>
          </w:p>
        </w:tc>
      </w:tr>
      <w:tr>
        <w:tc>
          <w:tcPr/>
          <w:p>
            <w:pPr>
              <w:pStyle w:val="Compact"/>
            </w:pPr>
            <w:r>
              <w:t xml:space="preserve">200</w:t>
            </w:r>
          </w:p>
        </w:tc>
        <w:tc>
          <w:tcPr/>
          <w:p>
            <w:pPr>
              <w:pStyle w:val="Compact"/>
              <w:jc w:val="center"/>
            </w:pPr>
            <w:r>
              <w:t xml:space="preserve">5,gap2</w:t>
            </w:r>
          </w:p>
        </w:tc>
        <w:tc>
          <w:tcPr/>
          <w:p>
            <w:pPr>
              <w:pStyle w:val="Compact"/>
            </w:pPr>
            <w:r>
              <w:t xml:space="preserve">0.234 ± 0.035</w:t>
            </w:r>
          </w:p>
        </w:tc>
        <w:tc>
          <w:tcPr/>
          <w:p>
            <w:pPr>
              <w:pStyle w:val="Compact"/>
            </w:pPr>
            <w:r>
              <w:rPr>
                <w:b/>
                <w:bCs/>
              </w:rPr>
              <w:t xml:space="preserve">0.210 ± 0.034</w:t>
            </w:r>
          </w:p>
        </w:tc>
        <w:tc>
          <w:tcPr/>
          <w:p>
            <w:pPr>
              <w:pStyle w:val="Compact"/>
            </w:pPr>
            <w:r>
              <w:t xml:space="preserve">FT2 better (clean, p=2.07×10⁻¹⁴)</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0.199 ± 0.030</w:t>
            </w:r>
          </w:p>
        </w:tc>
        <w:tc>
          <w:tcPr/>
          <w:p>
            <w:pPr>
              <w:pStyle w:val="Compact"/>
            </w:pPr>
            <w:r>
              <w:t xml:space="preserve">0.205 ± 0.030</w:t>
            </w:r>
          </w:p>
        </w:tc>
        <w:tc>
          <w:tcPr/>
          <w:p>
            <w:pPr>
              <w:pStyle w:val="Compact"/>
            </w:pPr>
            <w:r>
              <w:t xml:space="preserve">Fusang better (indel, p=0.0507, borderline; n.s. at α=0.05) ‡</w:t>
            </w:r>
          </w:p>
        </w:tc>
      </w:tr>
      <w:tr>
        <w:tc>
          <w:tcPr/>
          <w:p>
            <w:pPr>
              <w:pStyle w:val="Compact"/>
            </w:pPr>
            <w:r>
              <w:t xml:space="preserve">500</w:t>
            </w:r>
          </w:p>
        </w:tc>
        <w:tc>
          <w:tcPr/>
          <w:p>
            <w:pPr>
              <w:pStyle w:val="Compact"/>
              <w:jc w:val="center"/>
            </w:pPr>
            <w:r>
              <w:t xml:space="preserve">5,gap2</w:t>
            </w:r>
          </w:p>
        </w:tc>
        <w:tc>
          <w:tcPr/>
          <w:p>
            <w:pPr>
              <w:pStyle w:val="Compact"/>
            </w:pPr>
            <w:r>
              <w:t xml:space="preserve">0.244 ± 0.019</w:t>
            </w:r>
          </w:p>
        </w:tc>
        <w:tc>
          <w:tcPr/>
          <w:p>
            <w:pPr>
              <w:pStyle w:val="Compact"/>
            </w:pPr>
            <w:r>
              <w:rPr>
                <w:b/>
                <w:bCs/>
              </w:rPr>
              <w:t xml:space="preserve">0.213 ± 0.017</w:t>
            </w:r>
          </w:p>
        </w:tc>
        <w:tc>
          <w:tcPr/>
          <w:p>
            <w:pPr>
              <w:pStyle w:val="Compact"/>
            </w:pPr>
            <w:r>
              <w:t xml:space="preserve">FT2 better (clean, p=1.73×10⁻⁶)</w:t>
            </w:r>
          </w:p>
        </w:tc>
      </w:tr>
      <w:tr>
        <w:tc>
          <w:tcPr/>
          <w:p>
            <w:pPr>
              <w:pStyle w:val="Compact"/>
            </w:pPr>
            <w:r>
              <w:t xml:space="preserve">1000</w:t>
            </w:r>
          </w:p>
        </w:tc>
        <w:tc>
          <w:tcPr/>
          <w:p>
            <w:pPr>
              <w:pStyle w:val="Compact"/>
              <w:jc w:val="center"/>
            </w:pPr>
            <w:r>
              <w:t xml:space="preserve">5,gap2</w:t>
            </w:r>
          </w:p>
        </w:tc>
        <w:tc>
          <w:tcPr/>
          <w:p>
            <w:pPr>
              <w:pStyle w:val="Compact"/>
            </w:pPr>
            <w:r>
              <w:t xml:space="preserve">0.257 ± 0.019</w:t>
            </w:r>
          </w:p>
        </w:tc>
        <w:tc>
          <w:tcPr/>
          <w:p>
            <w:pPr>
              <w:pStyle w:val="Compact"/>
            </w:pPr>
            <w:r>
              <w:rPr>
                <w:b/>
                <w:bCs/>
              </w:rPr>
              <w:t xml:space="preserve">0.212 ± 0.016</w:t>
            </w:r>
          </w:p>
        </w:tc>
        <w:tc>
          <w:tcPr/>
          <w:p>
            <w:pPr>
              <w:pStyle w:val="Compact"/>
            </w:pPr>
            <w:r>
              <w:t xml:space="preserve">FT2 better (clean, p=1.73×10⁻⁶)</w:t>
            </w:r>
          </w:p>
        </w:tc>
      </w:tr>
    </w:tbl>
    <w:p>
      <w:pPr>
        <w:pStyle w:val="BodyText"/>
      </w:pPr>
      <w:r>
        <w:rPr>
          <w:b/>
          <w:bCs/>
        </w:rPr>
        <w:t xml:space="preserve">Notes</w:t>
      </w:r>
      <w:r>
        <w:t xml:space="preserve">: For n&lt;1000, Notes column indicates which method performs better and the p-value when significant. For n=1000 the Fusang trees were produced by the DCM+EPA pipeline:</w:t>
      </w:r>
      <w:r>
        <w:t xml:space="preserve"> </w:t>
      </w:r>
      <w:r>
        <w:rPr>
          <w:rStyle w:val="VerbatimChar"/>
        </w:rPr>
        <w:t xml:space="preserve">run_bench_indelible.py</w:t>
      </w:r>
      <w:r>
        <w:t xml:space="preserve"> </w:t>
      </w:r>
      <w:r>
        <w:t xml:space="preserve">appends</w:t>
      </w:r>
      <w:r>
        <w:t xml:space="preserve"> </w:t>
      </w:r>
      <w:r>
        <w:rPr>
          <w:rStyle w:val="VerbatimChar"/>
        </w:rPr>
        <w:t xml:space="preserve">--auto_group_method nj_centroid</w:t>
      </w:r>
      <w:r>
        <w:t xml:space="preserve"> </w:t>
      </w:r>
      <w:r>
        <w:t xml:space="preserve">whenever n &gt; 500, and with</w:t>
      </w:r>
      <w:r>
        <w:t xml:space="preserve"> </w:t>
      </w:r>
      <w:r>
        <w:rPr>
          <w:rStyle w:val="VerbatimChar"/>
        </w:rPr>
        <w:t xml:space="preserve">SIMPLE_THRESHOLD = 500</w:t>
      </w:r>
      <w:r>
        <w:t xml:space="preserve"> </w:t>
      </w:r>
      <w:r>
        <w:t xml:space="preserve">this routes n=1000 through DCM (see also the pipeline caveat in Discussion). The winner is still FastTree2 on clean data. See Supplementary Table S6 for complete n=1000 benchmark results (30 seeds, both clean and indel conditions). ‡ Row values are from the 130-seed benchmark (seeds 100–229; all seeds valid, no outlier exclusion), paired Wilcoxon p=0.0507 (Table 3; integer RF counts, zero-split convention; not significant at α=0.05). § n=50 and n=100 rows: 130-seed INDELible clean benchmarks (seeds 100–229) measured at the benchmark configuration k=5,gap2 (the Adaptive column shows what the parameter selector would choose). Values shown use all 130 seeds; applying the pre-specified symmetric nRF&gt;0.3 exclusion removes 26/130 seeds at n=50 (Fusang 0.208 ± 0.057 vs FT2 0.189 ± 0.052, p=9.9×10⁻⁵) and 10/130 at n=100 (0.228 ± 0.041 vs 0.204 ± 0.041, p=8.1×10⁻¹⁰) without changing any conclusion. FastTree2 is significantly better at every clean-data scale tested.</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p>
      <w:pPr>
        <w:pStyle w:val="BodyText"/>
      </w:pPr>
      <w:r>
        <w:rPr>
          <w:b/>
          <w:bCs/>
        </w:rPr>
        <w:t xml:space="preserve">Table 9. Real 16S rRNA validation (n=73 taxa spanning 13 phyla and 40 orders under the corrected NCBI Taxonomy annotation;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Phylum</w:t>
            </w:r>
          </w:p>
        </w:tc>
        <w:tc>
          <w:tcPr/>
          <w:p>
            <w:pPr>
              <w:pStyle w:val="Compact"/>
              <w:jc w:val="right"/>
            </w:pPr>
            <w:r>
              <w:t xml:space="preserve">0.1763</w:t>
            </w:r>
          </w:p>
        </w:tc>
        <w:tc>
          <w:tcPr/>
          <w:p>
            <w:pPr>
              <w:pStyle w:val="Compact"/>
              <w:jc w:val="right"/>
            </w:pPr>
            <w:r>
              <w:t xml:space="preserve">0.2570</w:t>
            </w:r>
          </w:p>
        </w:tc>
        <w:tc>
          <w:tcPr/>
          <w:p>
            <w:pPr>
              <w:pStyle w:val="Compact"/>
              <w:jc w:val="right"/>
            </w:pPr>
            <w:r>
              <w:rPr>
                <w:b/>
                <w:bCs/>
              </w:rPr>
              <w:t xml:space="preserve">31.4%</w:t>
            </w:r>
          </w:p>
        </w:tc>
        <w:tc>
          <w:tcPr/>
          <w:p>
            <w:pPr>
              <w:pStyle w:val="Compact"/>
              <w:jc w:val="center"/>
            </w:pPr>
            <w:r>
              <w:t xml:space="preserve">&lt;1×10⁻⁴</w:t>
            </w:r>
          </w:p>
        </w:tc>
      </w:tr>
      <w:tr>
        <w:tc>
          <w:tcPr/>
          <w:p>
            <w:pPr>
              <w:pStyle w:val="Compact"/>
              <w:jc w:val="left"/>
            </w:pPr>
            <w:r>
              <w:t xml:space="preserve">Order</w:t>
            </w:r>
          </w:p>
        </w:tc>
        <w:tc>
          <w:tcPr/>
          <w:p>
            <w:pPr>
              <w:pStyle w:val="Compact"/>
              <w:jc w:val="right"/>
            </w:pPr>
            <w:r>
              <w:t xml:space="preserve">0.1066</w:t>
            </w:r>
          </w:p>
        </w:tc>
        <w:tc>
          <w:tcPr/>
          <w:p>
            <w:pPr>
              <w:pStyle w:val="Compact"/>
              <w:jc w:val="right"/>
            </w:pPr>
            <w:r>
              <w:t xml:space="preserve">0.2451</w:t>
            </w:r>
          </w:p>
        </w:tc>
        <w:tc>
          <w:tcPr/>
          <w:p>
            <w:pPr>
              <w:pStyle w:val="Compact"/>
              <w:jc w:val="right"/>
            </w:pPr>
            <w:r>
              <w:rPr>
                <w:b/>
                <w:bCs/>
              </w:rPr>
              <w:t xml:space="preserve">56.5%</w:t>
            </w:r>
          </w:p>
        </w:tc>
        <w:tc>
          <w:tcPr/>
          <w:p>
            <w:pPr>
              <w:pStyle w:val="Compact"/>
              <w:jc w:val="center"/>
            </w:pPr>
            <w:r>
              <w:t xml:space="preserve">&lt;1×10⁻⁴</w:t>
            </w:r>
          </w:p>
        </w:tc>
      </w:tr>
      <w:tr>
        <w:tc>
          <w:tcPr/>
          <w:p>
            <w:pPr>
              <w:pStyle w:val="Compact"/>
              <w:jc w:val="left"/>
            </w:pPr>
            <w:r>
              <w:t xml:space="preserve">Family</w:t>
            </w:r>
          </w:p>
        </w:tc>
        <w:tc>
          <w:tcPr/>
          <w:p>
            <w:pPr>
              <w:pStyle w:val="Compact"/>
              <w:jc w:val="right"/>
            </w:pPr>
            <w:r>
              <w:t xml:space="preserve">0.0709</w:t>
            </w:r>
          </w:p>
        </w:tc>
        <w:tc>
          <w:tcPr/>
          <w:p>
            <w:pPr>
              <w:pStyle w:val="Compact"/>
              <w:jc w:val="right"/>
            </w:pPr>
            <w:r>
              <w:t xml:space="preserve">0.2440</w:t>
            </w:r>
          </w:p>
        </w:tc>
        <w:tc>
          <w:tcPr/>
          <w:p>
            <w:pPr>
              <w:pStyle w:val="Compact"/>
              <w:jc w:val="right"/>
            </w:pPr>
            <w:r>
              <w:rPr>
                <w:b/>
                <w:bCs/>
              </w:rPr>
              <w:t xml:space="preserve">71.0%</w:t>
            </w:r>
          </w:p>
        </w:tc>
        <w:tc>
          <w:tcPr/>
          <w:p>
            <w:pPr>
              <w:pStyle w:val="Compact"/>
              <w:jc w:val="center"/>
            </w:pPr>
            <w:r>
              <w:t xml:space="preserve">&lt;1×10⁻⁴</w:t>
            </w:r>
          </w:p>
        </w:tc>
      </w:tr>
    </w:tbl>
    <w:p>
      <w:pPr>
        <w:pStyle w:val="BodyText"/>
      </w:pPr>
      <w:r>
        <w:t xml:space="preserve">P-values are from two-sided permutation tests comparing mean same-group versus different-group tree-based pairwise (patristic) distances with taxonomic group labels permuted (test statistic: difference in group means; 10,000 random permutations per level;</w:t>
      </w:r>
      <w:r>
        <w:t xml:space="preserve"> </w:t>
      </w:r>
      <w:r>
        <w:rPr>
          <w:rStyle w:val="VerbatimChar"/>
        </w:rPr>
        <w:t xml:space="preserve">p &lt; 1×10⁻⁴</w:t>
      </w:r>
      <w:r>
        <w:t xml:space="preserve"> </w:t>
      </w:r>
      <w:r>
        <w:t xml:space="preserve">means no permutation reached the observed statistic). Fusang recovers significant phylogenetic signal at every taxonomic level, with the reduction rising monotonically from phylum (31.4%) to genus (78.6%) — the gradient itself evidencing genuine rather than artefactual signal. On the same sequences the alignment-based FastTree2 tree attains larger reductions (phylum 55.5%, order 80.4%, family 90.1%; all p &lt; 1×10⁻⁴), consistent with the applicability boundary discussed below. Absolute same/different-group distances are not comparable across trees (Fusang NJ branch lengths vs FastTree2 substitution units); only the reductions and p-values are. All values are computed under the corrected NCBI Taxonomy annotation (Supplementary Note S17); an earlier evaluation against the erroneous shipped labels is superseded.</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p>
      <w:pPr>
        <w:pStyle w:val="BodyText"/>
      </w:pPr>
      <w:r>
        <w:rPr>
          <w:b/>
          <w:bCs/>
        </w:rPr>
        <w:t xml:space="preserve">Table 10. SwissTree gene tree benchmark (11 families, protein sequences, AFproject standard; scored with the standard root-independent unrooted RF).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rPr>
                <w:b/>
                <w:bCs/>
              </w:rPr>
              <w:t xml:space="preserve">Fusang</w:t>
            </w:r>
            <w:r>
              <w:t xml:space="preserve"> </w:t>
            </w:r>
            <w:r>
              <w:t xml:space="preserve">spaced (pattern</w:t>
            </w:r>
            <w:r>
              <w:t xml:space="preserve"> </w:t>
            </w:r>
            <w:r>
              <w:rPr>
                <w:rStyle w:val="VerbatimChar"/>
              </w:rPr>
              <w:t xml:space="preserve">11011</w:t>
            </w:r>
            <w:r>
              <w:t xml:space="preserve">)</w:t>
            </w:r>
          </w:p>
        </w:tc>
        <w:tc>
          <w:tcPr/>
          <w:p>
            <w:pPr>
              <w:pStyle w:val="Compact"/>
              <w:jc w:val="left"/>
            </w:pPr>
            <w:r>
              <w:t xml:space="preserve">4 sampled positions, span 5</w:t>
            </w:r>
          </w:p>
        </w:tc>
        <w:tc>
          <w:tcPr/>
          <w:p>
            <w:pPr>
              <w:pStyle w:val="Compact"/>
              <w:jc w:val="right"/>
            </w:pPr>
            <w:r>
              <w:rPr>
                <w:b/>
                <w:bCs/>
              </w:rPr>
              <w:t xml:space="preserve">0.329</w:t>
            </w:r>
          </w:p>
        </w:tc>
        <w:tc>
          <w:tcPr/>
          <w:p>
            <w:pPr>
              <w:pStyle w:val="Compact"/>
              <w:jc w:val="right"/>
            </w:pPr>
            <w:r>
              <w:t xml:space="preserve">0.148</w:t>
            </w:r>
          </w:p>
        </w:tc>
        <w:tc>
          <w:tcPr/>
          <w:p>
            <w:pPr>
              <w:pStyle w:val="Compact"/>
              <w:jc w:val="center"/>
            </w:pPr>
            <w:r>
              <w:t xml:space="preserve">8</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0.343</w:t>
            </w:r>
          </w:p>
        </w:tc>
        <w:tc>
          <w:tcPr/>
          <w:p>
            <w:pPr>
              <w:pStyle w:val="Compact"/>
              <w:jc w:val="right"/>
            </w:pPr>
            <w:r>
              <w:t xml:space="preserve">0.156</w:t>
            </w:r>
          </w:p>
        </w:tc>
        <w:tc>
          <w:tcPr/>
          <w:p>
            <w:pPr>
              <w:pStyle w:val="Compact"/>
              <w:jc w:val="center"/>
            </w:pPr>
            <w:r>
              <w:t xml:space="preserve">5</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0.346</w:t>
            </w:r>
          </w:p>
        </w:tc>
        <w:tc>
          <w:tcPr/>
          <w:p>
            <w:pPr>
              <w:pStyle w:val="Compact"/>
              <w:jc w:val="right"/>
            </w:pPr>
            <w:r>
              <w:t xml:space="preserve">0.169</w:t>
            </w:r>
          </w:p>
        </w:tc>
        <w:tc>
          <w:tcPr/>
          <w:p>
            <w:pPr>
              <w:pStyle w:val="Compact"/>
              <w:jc w:val="center"/>
            </w:pPr>
            <w:r>
              <w:t xml:space="preserve">3</w:t>
            </w:r>
          </w:p>
        </w:tc>
      </w:tr>
      <w:tr>
        <w:tc>
          <w:tcPr/>
          <w:p>
            <w:pPr>
              <w:pStyle w:val="Compact"/>
            </w:pPr>
            <w:r>
              <w:rPr>
                <w:b/>
                <w:bCs/>
              </w:rPr>
              <w:t xml:space="preserve">Fusang</w:t>
            </w:r>
            <w:r>
              <w:t xml:space="preserve"> </w:t>
            </w:r>
            <w:r>
              <w:t xml:space="preserve">spaced (pattern</w:t>
            </w:r>
            <w:r>
              <w:t xml:space="preserve"> </w:t>
            </w:r>
            <w:r>
              <w:rPr>
                <w:rStyle w:val="VerbatimChar"/>
              </w:rPr>
              <w:t xml:space="preserve">1011</w:t>
            </w:r>
            <w:r>
              <w:t xml:space="preserve">)</w:t>
            </w:r>
          </w:p>
        </w:tc>
        <w:tc>
          <w:tcPr/>
          <w:p>
            <w:pPr>
              <w:pStyle w:val="Compact"/>
              <w:jc w:val="left"/>
            </w:pPr>
            <w:r>
              <w:t xml:space="preserve">3 sampled positions, span 4</w:t>
            </w:r>
          </w:p>
        </w:tc>
        <w:tc>
          <w:tcPr/>
          <w:p>
            <w:pPr>
              <w:pStyle w:val="Compact"/>
              <w:jc w:val="right"/>
            </w:pPr>
            <w:r>
              <w:t xml:space="preserve">0.354</w:t>
            </w:r>
          </w:p>
        </w:tc>
        <w:tc>
          <w:tcPr/>
          <w:p>
            <w:pPr>
              <w:pStyle w:val="Compact"/>
              <w:jc w:val="right"/>
            </w:pPr>
            <w:r>
              <w:t xml:space="preserve">0.158</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t xml:space="preserve">0.727</w:t>
            </w:r>
          </w:p>
        </w:tc>
        <w:tc>
          <w:tcPr/>
          <w:p>
            <w:pPr>
              <w:pStyle w:val="Compact"/>
              <w:jc w:val="right"/>
            </w:pPr>
            <w:r>
              <w:t xml:space="preserve">0.109</w:t>
            </w:r>
          </w:p>
        </w:tc>
        <w:tc>
          <w:tcPr/>
          <w:p>
            <w:pPr>
              <w:pStyle w:val="Compact"/>
              <w:jc w:val="center"/>
            </w:pPr>
            <w:r>
              <w:t xml:space="preserve">0</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t xml:space="preserve">0.786</w:t>
            </w:r>
          </w:p>
        </w:tc>
        <w:tc>
          <w:tcPr/>
          <w:p>
            <w:pPr>
              <w:pStyle w:val="Compact"/>
              <w:jc w:val="right"/>
            </w:pPr>
            <w:r>
              <w:t xml:space="preserve">0.148</w:t>
            </w:r>
          </w:p>
        </w:tc>
        <w:tc>
          <w:tcPr/>
          <w:p>
            <w:pPr>
              <w:pStyle w:val="Compact"/>
              <w:jc w:val="center"/>
            </w:pPr>
            <w:r>
              <w:t xml:space="preserve">1</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halfctx=5’s single win is a four-way tie on ST012). Statistical tests are paired Wilcoxon signed-rank (n=11; negative Cohen’s d = first-named method better): Fusang</w:t>
      </w:r>
      <w:r>
        <w:t xml:space="preserve"> </w:t>
      </w:r>
      <w:r>
        <w:rPr>
          <w:rStyle w:val="VerbatimChar"/>
        </w:rPr>
        <w:t xml:space="preserve">11011</w:t>
      </w:r>
      <w:r>
        <w:t xml:space="preserve"> </w:t>
      </w:r>
      <w:r>
        <w:t xml:space="preserve">vs Co-phylog halfctx=11 p=0.0010 (d=−3.47) and vs halfctx=5 p=0.0020 (d=−2.28); Fusang</w:t>
      </w:r>
      <w:r>
        <w:t xml:space="preserve"> </w:t>
      </w:r>
      <w:r>
        <w:rPr>
          <w:rStyle w:val="VerbatimChar"/>
        </w:rPr>
        <w:t xml:space="preserve">1011</w:t>
      </w:r>
      <w:r>
        <w:t xml:space="preserve"> </w:t>
      </w:r>
      <w:r>
        <w:t xml:space="preserve">vs Co-phylog halfctx=11 p=0.0010 (d=−3.26) and vs halfctx=5 p=0.0020 (d=−2.21). Spaced-vs-contiguous comparisons are</w:t>
      </w:r>
      <w:r>
        <w:t xml:space="preserve"> </w:t>
      </w:r>
      <w:r>
        <w:rPr>
          <w:b/>
          <w:bCs/>
        </w:rPr>
        <w:t xml:space="preserve">not</w:t>
      </w:r>
      <w:r>
        <w:t xml:space="preserve"> </w:t>
      </w:r>
      <w:r>
        <w:t xml:space="preserve">significant: Fusang</w:t>
      </w:r>
      <w:r>
        <w:t xml:space="preserve"> </w:t>
      </w:r>
      <w:r>
        <w:rPr>
          <w:rStyle w:val="VerbatimChar"/>
        </w:rPr>
        <w:t xml:space="preserve">1011</w:t>
      </w:r>
      <w:r>
        <w:t xml:space="preserve"> </w:t>
      </w:r>
      <w:r>
        <w:t xml:space="preserve">vs contiguous k=4, p=0.64 (d=+0.24); Fusang</w:t>
      </w:r>
      <w:r>
        <w:t xml:space="preserve"> </w:t>
      </w:r>
      <w:r>
        <w:rPr>
          <w:rStyle w:val="VerbatimChar"/>
        </w:rPr>
        <w:t xml:space="preserve">11011</w:t>
      </w:r>
      <w:r>
        <w:t xml:space="preserve"> </w:t>
      </w:r>
      <w:r>
        <w:t xml:space="preserve">vs contiguous k=5, p=0.094 (d=−0.63).</w:t>
      </w:r>
      <w:r>
        <w:t xml:space="preserve"> </w:t>
      </w:r>
      <w:r>
        <w:rPr>
          <w:b/>
          <w:bCs/>
        </w:rPr>
        <w:t xml:space="preserve">Configuration-naming correction.</w:t>
      </w:r>
      <w:r>
        <w:t xml:space="preserve"> </w:t>
      </w:r>
      <w:r>
        <w:t xml:space="preserve">Earlier versions of this table labelled the two spaced rows</w:t>
      </w:r>
      <w:r>
        <w:t xml:space="preserve"> </w:t>
      </w:r>
      <w:r>
        <w:t xml:space="preserve">“k=4,gap1 (1010101)”</w:t>
      </w:r>
      <w:r>
        <w:t xml:space="preserve"> </w:t>
      </w:r>
      <w:r>
        <w:t xml:space="preserve">and</w:t>
      </w:r>
      <w:r>
        <w:t xml:space="preserve"> </w:t>
      </w:r>
      <w:r>
        <w:t xml:space="preserve">“k=5,gap2 (1001001001001)”</w:t>
      </w:r>
      <w:r>
        <w:t xml:space="preserve">. The benchmark in fact used the compressed patterns</w:t>
      </w:r>
      <w:r>
        <w:t xml:space="preserve"> </w:t>
      </w:r>
      <w:r>
        <w:rPr>
          <w:rStyle w:val="VerbatimChar"/>
        </w:rPr>
        <w:t xml:space="preserve">1011</w:t>
      </w:r>
      <w:r>
        <w:t xml:space="preserve"> </w:t>
      </w:r>
      <w:r>
        <w:t xml:space="preserve">(3 sampled positions spanning 4 residues) and</w:t>
      </w:r>
      <w:r>
        <w:t xml:space="preserve"> </w:t>
      </w:r>
      <w:r>
        <w:rPr>
          <w:rStyle w:val="VerbatimChar"/>
        </w:rPr>
        <w:t xml:space="preserve">11011</w:t>
      </w:r>
      <w:r>
        <w:t xml:space="preserve"> </w:t>
      </w:r>
      <w:r>
        <w:t xml:space="preserve">(4 sampled positions spanning 5 residues), chosen for the 20-letter protein alphabet; the</w:t>
      </w:r>
      <w:r>
        <w:t xml:space="preserve"> </w:t>
      </w:r>
      <w:r>
        <w:rPr>
          <w:rStyle w:val="VerbatimChar"/>
        </w:rPr>
        <w:t xml:space="preserve">k</w:t>
      </w:r>
      <w:r>
        <w:t xml:space="preserve"> </w:t>
      </w:r>
      <w:r>
        <w:t xml:space="preserve">argument is ignored whenever an explicit pattern is supplied. All numbers above correspond to those patterns, and we have corrected the labels rather than silently re-running with the DNA defaults. A consequence is that the spaced rows are not weight-matched to the contiguous rows (4 vs 5 and 3 vs 4 sampled positions respectively), so the spaced-vs-contiguous contrast on this benchmark conflates pattern with weight.</w:t>
      </w:r>
    </w:p>
    <w:p>
      <w:pPr>
        <w:pStyle w:val="BodyText"/>
      </w:pPr>
      <w:r>
        <w:t xml:space="preserve">Three findings emerge from the SwissTree benchmark:</w:t>
      </w:r>
    </w:p>
    <w:p>
      <w:pPr>
        <w:numPr>
          <w:ilvl w:val="0"/>
          <w:numId w:val="1006"/>
        </w:numPr>
      </w:pPr>
      <w:r>
        <w:rPr>
          <w:b/>
          <w:bCs/>
        </w:rPr>
        <w:t xml:space="preserve">K-mer frequency methods outperform context-matching on protein sequences.</w:t>
      </w:r>
      <w:r>
        <w:t xml:space="preserve"> </w:t>
      </w:r>
      <w:r>
        <w:t xml:space="preserve">The best k-mer configuration achieves mean nRF=0.329, while Co-phylog’s best configuration (halfctx=11) achieves nRF=0.727 — a 2.2× accuracy advantage (paired Wilcoxon p=0.0010, Cohen’s d=−3.47) — and its default (halfctx=5) achieves nRF=0.786, a 2.4× gap (p=0.0020, d=−2.28). This extends our observation from DNA data (Table 7) to protein sequences, confirming that k-mer frequency vectors capture phylogenetic signal more robustly than Co-phylog’s context-object matching across both sequence alphabets. Both gaps are markedly wider than the 1.5–1.8× we previously reported from a root-dependent nRF implementation (see Materials and Methods); the direction of the conclusion is unchanged, its magnitude was previously understated.</w:t>
      </w:r>
    </w:p>
    <w:p>
      <w:pPr>
        <w:numPr>
          <w:ilvl w:val="0"/>
          <w:numId w:val="1006"/>
        </w:numPr>
      </w:pPr>
      <w:r>
        <w:rPr>
          <w:b/>
          <w:bCs/>
        </w:rPr>
        <w:t xml:space="preserve">No spaced-pattern advantage is detectable on protein data.</w:t>
      </w:r>
      <w:r>
        <w:t xml:space="preserve"> </w:t>
      </w:r>
      <w:r>
        <w:t xml:space="preserve">Under the root-dependent nRF implementation used previously we reported a significant spaced-pattern gain on this benchmark (spaced k=4,gap1 vs contiguous k=4: p=0.0078, better in 8/11 families). Recomputed with the standard root-independent unrooted RF, that gain disappears: pattern</w:t>
      </w:r>
      <w:r>
        <w:t xml:space="preserve"> </w:t>
      </w:r>
      <w:r>
        <w:rPr>
          <w:rStyle w:val="VerbatimChar"/>
        </w:rPr>
        <w:t xml:space="preserve">1011</w:t>
      </w:r>
      <w:r>
        <w:t xml:space="preserve"> </w:t>
      </w:r>
      <w:r>
        <w:t xml:space="preserve">(0.354 ± 0.158) is marginally</w:t>
      </w:r>
      <w:r>
        <w:t xml:space="preserve"> </w:t>
      </w:r>
      <w:r>
        <w:rPr>
          <w:i/>
          <w:iCs/>
        </w:rPr>
        <w:t xml:space="preserve">worse</w:t>
      </w:r>
      <w:r>
        <w:t xml:space="preserve"> </w:t>
      </w:r>
      <w:r>
        <w:t xml:space="preserve">than contiguous k=4 (0.346 ± 0.169; paired Wilcoxon p=0.64), and pattern</w:t>
      </w:r>
      <w:r>
        <w:t xml:space="preserve"> </w:t>
      </w:r>
      <w:r>
        <w:rPr>
          <w:rStyle w:val="VerbatimChar"/>
        </w:rPr>
        <w:t xml:space="preserve">11011</w:t>
      </w:r>
      <w:r>
        <w:t xml:space="preserve"> </w:t>
      </w:r>
      <w:r>
        <w:t xml:space="preserve">(0.329 ± 0.148) is not significantly better than contiguous k=5 (0.343 ± 0.156; p=0.094). We therefore</w:t>
      </w:r>
      <w:r>
        <w:t xml:space="preserve"> </w:t>
      </w:r>
      <w:r>
        <w:rPr>
          <w:b/>
          <w:bCs/>
        </w:rPr>
        <w:t xml:space="preserve">withdraw</w:t>
      </w:r>
      <w:r>
        <w:t xml:space="preserve"> </w:t>
      </w:r>
      <w:r>
        <w:t xml:space="preserve">the protein spaced-pattern claim: it was an artefact of the biased metric. On indel-rich DNA the spaced advantage survives the same metric change and is if anything stronger (Table 7, Finding 3: 75/130 seeds, p=5.54×10⁻⁴, paired d=0.337), so the evidence for spaced patterns in this work rests on the DNA benchmark alone, and we no longer claim that spaced sampling helps wherever gap content is high — the SwissTree alignments are strongly gap-rich (median gap fraction 50%, range 11–81%) yet show no such benefit.</w:t>
      </w:r>
    </w:p>
    <w:p>
      <w:pPr>
        <w:numPr>
          <w:ilvl w:val="0"/>
          <w:numId w:val="1006"/>
        </w:numPr>
      </w:pPr>
      <w:r>
        <w:rPr>
          <w:b/>
          <w:bCs/>
        </w:rPr>
        <w:t xml:space="preserve">The choice of representation and distance metric dominates; pattern choice is secondary.</w:t>
      </w:r>
      <w:r>
        <w:t xml:space="preserve"> </w:t>
      </w:r>
      <w:r>
        <w:t xml:space="preserve">Across both DNA (Table 7) and protein (Table 10) benchmarks, the choice of representation and distance metric (k-mer frequency cosine vs context-object matching vs MinHash Jaccard) has a far larger effect than the choice between spaced and contiguous patterns: on protein data the k-mer-cosine vs Co-phylog contrast spans |d|≈2.2–3.5, whereas spaced vs contiguous is non-significant (finding 2). The systematic evaluation of k-mer frequency vector cosine distances — across spaced and contiguous patterns and across sequence alphabets — is the core contribution of this work.</w:t>
      </w:r>
    </w:p>
    <w:p>
      <w:pPr>
        <w:pStyle w:val="FirstParagraph"/>
      </w:pPr>
      <w:r>
        <w:rPr>
          <w:b/>
          <w:bCs/>
        </w:rPr>
        <w:t xml:space="preserve">Table 11. Fusang scalability (L=500 bp, clean data; simplified pipeline for n≤500 timing runs; DCM+EPA at n=1,000 and n=10,000).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DCM+EPA ‡</w:t>
            </w:r>
          </w:p>
        </w:tc>
        <w:tc>
          <w:tcPr/>
          <w:p>
            <w:pPr>
              <w:pStyle w:val="Compact"/>
              <w:jc w:val="center"/>
            </w:pPr>
            <w:r>
              <w:t xml:space="preserve">—</w:t>
            </w:r>
          </w:p>
        </w:tc>
      </w:tr>
      <w:tr>
        <w:tc>
          <w:tcPr/>
          <w:p>
            <w:pPr>
              <w:pStyle w:val="Compact"/>
            </w:pPr>
            <w:r>
              <w:t xml:space="preserve">10000</w:t>
            </w:r>
          </w:p>
        </w:tc>
        <w:tc>
          <w:tcPr/>
          <w:p>
            <w:pPr>
              <w:pStyle w:val="Compact"/>
              <w:jc w:val="center"/>
            </w:pPr>
            <w:r>
              <w:t xml:space="preserve">69.8</w:t>
            </w:r>
          </w:p>
        </w:tc>
        <w:tc>
          <w:tcPr/>
          <w:p>
            <w:pPr>
              <w:pStyle w:val="Compact"/>
            </w:pPr>
            <w:r>
              <w:t xml:space="preserve">DCM</w:t>
            </w:r>
          </w:p>
        </w:tc>
        <w:tc>
          <w:tcPr/>
          <w:p>
            <w:pPr>
              <w:pStyle w:val="Compact"/>
              <w:jc w:val="center"/>
            </w:pPr>
            <w:r>
              <w:t xml:space="preserve">—</w:t>
            </w:r>
          </w:p>
        </w:tc>
      </w:tr>
    </w:tbl>
    <w:p>
      <w:pPr>
        <w:pStyle w:val="BodyText"/>
      </w:pPr>
      <w:r>
        <w:t xml:space="preserve">† This table mixes two measurement generations and should be read with care. The n=20–200 rows were timed with Neighbor-Joining (NJ)</w:t>
      </w:r>
      <w:r>
        <w:t xml:space="preserve"> </w:t>
      </w:r>
      <w:r>
        <w:rPr>
          <w:b/>
          <w:bCs/>
        </w:rPr>
        <w:t xml:space="preserve">before</w:t>
      </w:r>
      <w:r>
        <w:t xml:space="preserve"> </w:t>
      </w:r>
      <w:r>
        <w:t xml:space="preserve">the scipy-based clustering optimisation (reported: 4.9/13.9/24.5/46.1 s; the same NJ builder after optimisation: 1.8/2.0/2.2/2.3 s), whereas the n≥500 rows use FastME BIONJ+BNNI on the optimised code path (n=500/1000 also independently recorded as 3.59/5.08 s). The apparent non-monotonicity between n=200 (46.1 s) and n=500 (3.8 s) therefore reflects the change of tree builder and code version, not an algorithmic discontinuity; a uniform re-timing of the whole table on a single code version is in progress. All scalability claims in the main text use FastME BIONJ+BNNI as the default tree builder for n≥200 (3.5× faster than NJ at n=200).</w:t>
      </w:r>
    </w:p>
    <w:p>
      <w:pPr>
        <w:pStyle w:val="BodyText"/>
      </w:pPr>
      <w:r>
        <w:t xml:space="preserve">‡ The n=1,000 timing run was launched with</w:t>
      </w:r>
      <w:r>
        <w:t xml:space="preserve"> </w:t>
      </w:r>
      <w:r>
        <w:rPr>
          <w:rStyle w:val="VerbatimChar"/>
        </w:rPr>
        <w:t xml:space="preserve">--simple</w:t>
      </w:r>
      <w:r>
        <w:t xml:space="preserve">, but that flag is silently overridden for n &gt; 500 because the</w:t>
      </w:r>
      <w:r>
        <w:t xml:space="preserve"> </w:t>
      </w:r>
      <w:r>
        <w:rPr>
          <w:rStyle w:val="VerbatimChar"/>
        </w:rPr>
        <w:t xml:space="preserve">epa_method</w:t>
      </w:r>
      <w:r>
        <w:t xml:space="preserve"> </w:t>
      </w:r>
      <w:r>
        <w:t xml:space="preserve">branch resets</w:t>
      </w:r>
      <w:r>
        <w:t xml:space="preserve"> </w:t>
      </w:r>
      <w:r>
        <w:rPr>
          <w:rStyle w:val="VerbatimChar"/>
        </w:rPr>
        <w:t xml:space="preserve">use_simple</w:t>
      </w:r>
      <w:r>
        <w:t xml:space="preserve"> </w:t>
      </w:r>
      <w:r>
        <w:t xml:space="preserve">to False; the recorded 5.2 s therefore reflects the DCM+EPA pipeline, not the simplified one. The same applies to any other run that relied on</w:t>
      </w:r>
      <w:r>
        <w:t xml:space="preserve"> </w:t>
      </w:r>
      <w:r>
        <w:rPr>
          <w:rStyle w:val="VerbatimChar"/>
        </w:rPr>
        <w:t xml:space="preserve">--simple</w:t>
      </w:r>
      <w:r>
        <w:t xml:space="preserve"> </w:t>
      </w:r>
      <w:r>
        <w:t xml:space="preserve">above the</w:t>
      </w:r>
      <w:r>
        <w:t xml:space="preserve"> </w:t>
      </w:r>
      <w:r>
        <w:rPr>
          <w:rStyle w:val="VerbatimChar"/>
        </w:rPr>
        <w:t xml:space="preserve">SIMPLE_THRESHOLD</w:t>
      </w:r>
      <w:r>
        <w:t xml:space="preserve">.</w:t>
      </w:r>
    </w:p>
    <w:p>
      <w:pPr>
        <w:pStyle w:val="BodyText"/>
      </w:pPr>
      <w:r>
        <w:rPr>
          <w:b/>
          <w:bCs/>
        </w:rPr>
        <w:t xml:space="preserve">Table 12. Real genome benchmarks (AFproject community datasets, ETE3 nRF¹ vs published reference trees). All methods use NJ on unaligned input unless noted.</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Method</w:t>
            </w:r>
          </w:p>
        </w:tc>
        <w:tc>
          <w:tcPr/>
          <w:p>
            <w:pPr>
              <w:pStyle w:val="Compact"/>
              <w:jc w:val="center"/>
            </w:pPr>
            <w:r>
              <w:t xml:space="preserve">Fish mtDNA (n=25) ↓</w:t>
            </w:r>
          </w:p>
        </w:tc>
        <w:tc>
          <w:tcPr/>
          <w:p>
            <w:pPr>
              <w:pStyle w:val="Compact"/>
              <w:jc w:val="center"/>
            </w:pPr>
            <w:r>
              <w:t xml:space="preserve">E. coli/Shigella (n=27) ↓</w:t>
            </w:r>
          </w:p>
        </w:tc>
      </w:tr>
      <w:tr>
        <w:tc>
          <w:tcPr/>
          <w:p>
            <w:pPr>
              <w:pStyle w:val="Compact"/>
            </w:pPr>
            <w:r>
              <w:rPr>
                <w:b/>
                <w:bCs/>
              </w:rPr>
              <w:t xml:space="preserve">Multi-k cosine (k=5,7,9 avg)</w:t>
            </w:r>
          </w:p>
        </w:tc>
        <w:tc>
          <w:tcPr/>
          <w:p>
            <w:pPr>
              <w:pStyle w:val="Compact"/>
              <w:jc w:val="center"/>
            </w:pPr>
            <w:r>
              <w:rPr>
                <w:b/>
                <w:bCs/>
              </w:rPr>
              <w:t xml:space="preserve">0.045</w:t>
            </w:r>
          </w:p>
        </w:tc>
        <w:tc>
          <w:tcPr/>
          <w:p>
            <w:pPr>
              <w:pStyle w:val="Compact"/>
              <w:jc w:val="center"/>
            </w:pPr>
            <w:r>
              <w:t xml:space="preserve">0.500</w:t>
            </w:r>
          </w:p>
        </w:tc>
      </w:tr>
      <w:tr>
        <w:tc>
          <w:tcPr/>
          <w:p>
            <w:pPr>
              <w:pStyle w:val="Compact"/>
            </w:pPr>
            <w:r>
              <w:rPr>
                <w:b/>
                <w:bCs/>
              </w:rPr>
              <w:t xml:space="preserve">Multi-k cosine (k=7,9,11 avg)</w:t>
            </w:r>
          </w:p>
        </w:tc>
        <w:tc>
          <w:tcPr/>
          <w:p>
            <w:pPr>
              <w:pStyle w:val="Compact"/>
              <w:jc w:val="center"/>
            </w:pPr>
            <w:r>
              <w:rPr>
                <w:b/>
                <w:bCs/>
              </w:rPr>
              <w:t xml:space="preserve">0.045</w:t>
            </w:r>
          </w:p>
        </w:tc>
        <w:tc>
          <w:tcPr/>
          <w:p>
            <w:pPr>
              <w:pStyle w:val="Compact"/>
              <w:jc w:val="center"/>
            </w:pPr>
            <w:r>
              <w:t xml:space="preserve">—</w:t>
            </w:r>
          </w:p>
        </w:tc>
      </w:tr>
      <w:tr>
        <w:tc>
          <w:tcPr/>
          <w:p>
            <w:pPr>
              <w:pStyle w:val="Compact"/>
            </w:pPr>
            <w:r>
              <w:t xml:space="preserve">Multi-k cosine (k=9,11,13 avg)</w:t>
            </w:r>
          </w:p>
        </w:tc>
        <w:tc>
          <w:tcPr/>
          <w:p>
            <w:pPr>
              <w:pStyle w:val="Compact"/>
              <w:jc w:val="center"/>
            </w:pPr>
            <w:r>
              <w:t xml:space="preserve">—</w:t>
            </w:r>
          </w:p>
        </w:tc>
        <w:tc>
          <w:tcPr/>
          <w:p>
            <w:pPr>
              <w:pStyle w:val="Compact"/>
              <w:jc w:val="center"/>
            </w:pPr>
            <w:r>
              <w:t xml:space="preserve">0.500</w:t>
            </w:r>
          </w:p>
        </w:tc>
      </w:tr>
      <w:tr>
        <w:tc>
          <w:tcPr/>
          <w:p>
            <w:pPr>
              <w:pStyle w:val="Compact"/>
            </w:pPr>
            <w:r>
              <w:t xml:space="preserve">K-mer cosine k=9 / k=11 / k=13</w:t>
            </w:r>
          </w:p>
        </w:tc>
        <w:tc>
          <w:tcPr/>
          <w:p>
            <w:pPr>
              <w:pStyle w:val="Compact"/>
              <w:jc w:val="center"/>
            </w:pPr>
            <w:r>
              <w:t xml:space="preserve">0.091 / 0.091 / —</w:t>
            </w:r>
          </w:p>
        </w:tc>
        <w:tc>
          <w:tcPr/>
          <w:p>
            <w:pPr>
              <w:pStyle w:val="Compact"/>
              <w:jc w:val="center"/>
            </w:pPr>
            <w:r>
              <w:t xml:space="preserve">0.500 / 0.500 / 0.500</w:t>
            </w:r>
          </w:p>
        </w:tc>
      </w:tr>
      <w:tr>
        <w:tc>
          <w:tcPr/>
          <w:p>
            <w:pPr>
              <w:pStyle w:val="Compact"/>
            </w:pPr>
            <w:r>
              <w:t xml:space="preserve">K-mer cosine k=5 (gene-scale default)</w:t>
            </w:r>
          </w:p>
        </w:tc>
        <w:tc>
          <w:tcPr/>
          <w:p>
            <w:pPr>
              <w:pStyle w:val="Compact"/>
              <w:jc w:val="center"/>
            </w:pPr>
            <w:r>
              <w:t xml:space="preserve">0.545</w:t>
            </w:r>
          </w:p>
        </w:tc>
        <w:tc>
          <w:tcPr/>
          <w:p>
            <w:pPr>
              <w:pStyle w:val="Compact"/>
              <w:jc w:val="center"/>
            </w:pPr>
            <w:r>
              <w:t xml:space="preserve">0.875</w:t>
            </w:r>
          </w:p>
        </w:tc>
      </w:tr>
      <w:tr>
        <w:tc>
          <w:tcPr/>
          <w:p>
            <w:pPr>
              <w:pStyle w:val="Compact"/>
            </w:pPr>
            <w:r>
              <w:t xml:space="preserve">kmacs (k=10,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kmacs (k=3)</w:t>
            </w:r>
          </w:p>
        </w:tc>
        <w:tc>
          <w:tcPr/>
          <w:p>
            <w:pPr>
              <w:pStyle w:val="Compact"/>
              <w:jc w:val="center"/>
            </w:pPr>
            <w:r>
              <w:t xml:space="preserve">0.182</w:t>
            </w:r>
          </w:p>
        </w:tc>
        <w:tc>
          <w:tcPr/>
          <w:p>
            <w:pPr>
              <w:pStyle w:val="Compact"/>
              <w:jc w:val="center"/>
            </w:pPr>
            <w:r>
              <w:t xml:space="preserve">0.542 ³</w:t>
            </w:r>
          </w:p>
        </w:tc>
      </w:tr>
      <w:tr>
        <w:tc>
          <w:tcPr/>
          <w:p>
            <w:pPr>
              <w:pStyle w:val="Compact"/>
            </w:pPr>
            <w:r>
              <w:t xml:space="preserve">Mash (k=11, s=5000,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Mash (k=21, s=10000)</w:t>
            </w:r>
          </w:p>
        </w:tc>
        <w:tc>
          <w:tcPr/>
          <w:p>
            <w:pPr>
              <w:pStyle w:val="Compact"/>
              <w:jc w:val="center"/>
            </w:pPr>
            <w:r>
              <w:t xml:space="preserve">0.091</w:t>
            </w:r>
          </w:p>
        </w:tc>
        <w:tc>
          <w:tcPr/>
          <w:p>
            <w:pPr>
              <w:pStyle w:val="Compact"/>
              <w:jc w:val="center"/>
            </w:pPr>
            <w:r>
              <w:t xml:space="preserve">0.208</w:t>
            </w:r>
          </w:p>
        </w:tc>
      </w:tr>
      <w:tr>
        <w:tc>
          <w:tcPr/>
          <w:p>
            <w:pPr>
              <w:pStyle w:val="Compact"/>
            </w:pPr>
            <w:r>
              <w:t xml:space="preserve">Co-phylog (halfctx=5, AFproject config)</w:t>
            </w:r>
          </w:p>
        </w:tc>
        <w:tc>
          <w:tcPr/>
          <w:p>
            <w:pPr>
              <w:pStyle w:val="Compact"/>
              <w:jc w:val="center"/>
            </w:pPr>
            <w:r>
              <w:rPr>
                <w:b/>
                <w:bCs/>
              </w:rPr>
              <w:t xml:space="preserve">0.045</w:t>
            </w:r>
            <w:r>
              <w:t xml:space="preserve"> </w:t>
            </w:r>
            <w:r>
              <w:t xml:space="preserve">[published 0.09]</w:t>
            </w:r>
          </w:p>
        </w:tc>
        <w:tc>
          <w:tcPr/>
          <w:p>
            <w:pPr>
              <w:pStyle w:val="Compact"/>
              <w:jc w:val="center"/>
            </w:pPr>
            <w:r>
              <w:t xml:space="preserve">—</w:t>
            </w:r>
          </w:p>
        </w:tc>
      </w:tr>
      <w:tr>
        <w:tc>
          <w:tcPr/>
          <w:p>
            <w:pPr>
              <w:pStyle w:val="Compact"/>
            </w:pPr>
            <w:r>
              <w:t xml:space="preserve">MAFFT+FastTree2 (MSA+ML)</w:t>
            </w:r>
          </w:p>
        </w:tc>
        <w:tc>
          <w:tcPr/>
          <w:p>
            <w:pPr>
              <w:pStyle w:val="Compact"/>
              <w:jc w:val="center"/>
            </w:pPr>
            <w:r>
              <w:rPr>
                <w:b/>
                <w:bCs/>
              </w:rPr>
              <w:t xml:space="preserve">0.045</w:t>
            </w:r>
          </w:p>
        </w:tc>
        <w:tc>
          <w:tcPr/>
          <w:p>
            <w:pPr>
              <w:pStyle w:val="Compact"/>
              <w:jc w:val="center"/>
            </w:pPr>
            <w:r>
              <w:t xml:space="preserve">not feasible ²</w:t>
            </w:r>
          </w:p>
        </w:tc>
      </w:tr>
      <w:tr>
        <w:tc>
          <w:tcPr/>
          <w:p>
            <w:pPr>
              <w:pStyle w:val="Compact"/>
            </w:pPr>
            <w:r>
              <w:t xml:space="preserve">Published AFproject best (andi/Co-phylog/phylonium)</w:t>
            </w:r>
          </w:p>
        </w:tc>
        <w:tc>
          <w:tcPr/>
          <w:p>
            <w:pPr>
              <w:pStyle w:val="Compact"/>
              <w:jc w:val="center"/>
            </w:pPr>
            <w:r>
              <w:t xml:space="preserve">0.05</w:t>
            </w:r>
          </w:p>
        </w:tc>
        <w:tc>
          <w:tcPr/>
          <w:p>
            <w:pPr>
              <w:pStyle w:val="Compact"/>
              <w:jc w:val="center"/>
            </w:pPr>
            <w:r>
              <w:t xml:space="preserve">0.08</w:t>
            </w:r>
          </w:p>
        </w:tc>
      </w:tr>
    </w:tbl>
    <w:p>
      <w:pPr>
        <w:pStyle w:val="BodyText"/>
      </w:pPr>
      <w:r>
        <w:t xml:space="preserve">¹ nRF computed with ETE3 Tree.compare (unrooted, informative splits only, max_rf = 2(n−3)) — the AFproject scoring standard; not numerically comparable with the internal nRF of Tables 1–11.</w:t>
      </w:r>
      <w:r>
        <w:t xml:space="preserve"> </w:t>
      </w:r>
      <w:r>
        <w:t xml:space="preserve">“—”</w:t>
      </w:r>
      <w:r>
        <w:t xml:space="preserve"> </w:t>
      </w:r>
      <w:r>
        <w:t xml:space="preserve">= not tested (see notes);</w:t>
      </w:r>
      <w:r>
        <w:t xml:space="preserve"> </w:t>
      </w:r>
      <w:r>
        <w:t xml:space="preserve">“n/a”</w:t>
      </w:r>
      <w:r>
        <w:t xml:space="preserve"> </w:t>
      </w:r>
      <w:r>
        <w:t xml:space="preserve">= not applicable. Values in brackets are the scores published in the AFproject benchmark for the same method configuration; kmacs and Mash are original binaries and reproduce the published values (difference ≤ one split, consistent with NJ implementation differences), cross-validating the benchmark harness (data, NJ, and ETE3 scoring) rather than Fusang itself. Co-phylog is our Python reimplementation (as in Table 7), which explains its slightly better-than-published fish score.</w:t>
      </w:r>
      <w:r>
        <w:t xml:space="preserve"> </w:t>
      </w:r>
      <w:r>
        <w:t xml:space="preserve">² Whole-genome alignment of 27 × ~4.6 Mb is impractical — the regime where alignment-free methods are the only option.</w:t>
      </w:r>
      <w:r>
        <w:t xml:space="preserve"> </w:t>
      </w:r>
      <w:r>
        <w:t xml:space="preserve">³ kmacs (single-threaded) on the 27 × ~4.6 Mb dataset is far slower than either comparator: an earlier attempt produced no output after &gt;40 min and the run that ultimately yielded a tree was left running overnight, so we report no precise wall-clock figure for it. By contrast the logged runtimes are ~4 min for the full k-mer cosine k-scan (k=5…13;</w:t>
      </w:r>
      <w:r>
        <w:t xml:space="preserve"> </w:t>
      </w:r>
      <w:r>
        <w:rPr>
          <w:rStyle w:val="VerbatimChar"/>
        </w:rPr>
        <w:t xml:space="preserve">ecoli_suite_log.txt</w:t>
      </w:r>
      <w:r>
        <w:t xml:space="preserve">) and ~10 s for Mash. The resulting kmacs tree (nRF=0.542) does not beat the k-mer cosine plateau (0.500) on this dataset. Mash and the published AFproject leaderboard remain the stronger genome-scale comparators here.</w:t>
      </w:r>
    </w:p>
    <w:p>
      <w:pPr>
        <w:pStyle w:val="BodyText"/>
      </w:pPr>
      <w:r>
        <w:t xml:space="preserve">Three findings emerge:</w:t>
      </w:r>
    </w:p>
    <w:p>
      <w:pPr>
        <w:numPr>
          <w:ilvl w:val="0"/>
          <w:numId w:val="1007"/>
        </w:numPr>
      </w:pPr>
      <w:r>
        <w:rPr>
          <w:b/>
          <w:bCs/>
        </w:rPr>
        <w:t xml:space="preserve">On deep-divergence indel-rich real data, the multi-k cosine ensemble reaches the community-benchmark ceiling.</w:t>
      </w:r>
      <w:r>
        <w:t xml:space="preserve"> </w:t>
      </w:r>
      <w:r>
        <w:t xml:space="preserve">On the fish mitochondrial dataset (25 genomes across multiple orders, 9.1% alignment gaps), multi-k cosine achieves nRF=0.045 — identical to MAFFT+FastTree2 and to kmacs, Mash, and Co-phylog at their AFproject-published best configurations. This dataset does not discriminate among these methods: with n=25 taxa (44 informative splits), 0.045 corresponds to a 2-split difference from the trusted tree, and all top methods converge at this floor. The evidential value is therefore not that the ensemble distinguishes itself from MSA+ML, but that an alignment-free method with no k selection and no alignment step (~15s total vs ~75s for MAFFT alone) reaches the community optimum on real deep-divergence indel-rich data.</w:t>
      </w:r>
    </w:p>
    <w:p>
      <w:pPr>
        <w:numPr>
          <w:ilvl w:val="0"/>
          <w:numId w:val="1007"/>
        </w:numPr>
      </w:pPr>
      <w:r>
        <w:rPr>
          <w:b/>
          <w:bCs/>
        </w:rPr>
        <w:t xml:space="preserve">The k parameter must scale with sequence length, and the multi-k ensemble provides this automatically.</w:t>
      </w:r>
      <w:r>
        <w:t xml:space="preserve"> </w:t>
      </w:r>
      <w:r>
        <w:t xml:space="preserve">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A plausible but unverified mechanism (this is a single dataset, and the explanation is post hoc) is that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numPr>
          <w:ilvl w:val="0"/>
          <w:numId w:val="1007"/>
        </w:numPr>
      </w:pPr>
      <w:r>
        <w:rPr>
          <w:b/>
          <w:bCs/>
        </w:rPr>
        <w:t xml:space="preserve">E. coli/Shigella delineates an applicability boundary: shallow divergence dominated by recombination and gene flux.</w:t>
      </w:r>
      <w:r>
        <w:t xml:space="preserve"> </w:t>
      </w:r>
      <w:r>
        <w:t xml:space="preserve">On the 27-genome dataset (within-species divergence, recombination and gene gain/loss dominate over substitution), k-mer cosine plateaus at nRF=0.50 for all k≥9 and all multi-k variants, and kmacs (k=3; run left overnight, not instrumented for timing) performs no better (nRF=0.542),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 note that kmacs, despite being substring-based, also fails to exploit this fraction at its gene-scale k=3 configuration.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2026-10-22T11:44:49Z</dcterms:created>
  <dcterms:modified xsi:type="dcterms:W3CDTF">2026-10-22T11:44:49Z</dcterms:modified>
</cp:coreProperties>
</file>

<file path=docProps/custom.xml><?xml version="1.0" encoding="utf-8"?>
<Properties xmlns="http://schemas.openxmlformats.org/officeDocument/2006/custom-properties" xmlns:vt="http://schemas.openxmlformats.org/officeDocument/2006/docPropsVTypes"/>
</file>