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7047cb51a3183cfc4341966476115c4e62e2175"/>
    <w:p>
      <w:pPr>
        <w:pStyle w:val="Heading1"/>
      </w:pPr>
      <w:r>
        <w:t xml:space="preserve">Fusang: Tardigrade Edition — K-mer Frequency Vector Alignment-Free Phylogenetic Inference Resilient to Indel-Rich Sequence Evolution</w:t>
      </w:r>
    </w:p>
    <w:p>
      <w:pPr>
        <w:pStyle w:val="FirstParagraph"/>
      </w:pPr>
      <w:r>
        <w:rPr>
          <w:b/>
          <w:bCs/>
        </w:rPr>
        <w:t xml:space="preserve">Target Journal</w:t>
      </w:r>
      <w:r>
        <w:t xml:space="preserve">: Nucleic Acids Research (NAR) — Methods Article</w:t>
      </w:r>
      <w:r>
        <w:t xml:space="preserve"> </w:t>
      </w:r>
      <w:r>
        <w:rPr>
          <w:b/>
          <w:bCs/>
        </w:rPr>
        <w:t xml:space="preserve">Manuscript Type</w:t>
      </w:r>
      <w:r>
        <w:t xml:space="preserve">: Computational Biology / Phylogenetics</w:t>
      </w:r>
      <w:r>
        <w:t xml:space="preserve"> </w:t>
      </w:r>
      <w:r>
        <w:rPr>
          <w:b/>
          <w:bCs/>
        </w:rPr>
        <w:t xml:space="preserve">Running Title</w:t>
      </w:r>
      <w:r>
        <w:t xml:space="preserve">: K-mer frequency vector phylogenetics for indel-rich data</w:t>
      </w:r>
      <w:r>
        <w:t xml:space="preserve"> </w:t>
      </w:r>
      <w:r>
        <w:rPr>
          <w:b/>
          <w:bCs/>
        </w:rPr>
        <w:t xml:space="preserve">Keywords</w:t>
      </w:r>
      <w:r>
        <w:t xml:space="preserve">: alignment-free phylogenetics, k-mer frequency vector, cosine distance, indel robustness, multi-k ensemble, Neighbor-Joining</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Multiple sequence alignment (MSA) scales as O(n²L²) and introduces systematic errors under insertions and deletions (indels) — the norm in real sequence data. Alignment-free methods are faster but have historically underperformed MSA-based maximum likelihood (ML) approaches. We previously introduced Fusang v1 [23], a deep learning-based approach limited to 4–40 taxa.</w:t>
      </w:r>
    </w:p>
    <w:p>
      <w:pPr>
        <w:pStyle w:val="BodyText"/>
      </w:pPr>
      <w:r>
        <w:rPr>
          <w:b/>
          <w:bCs/>
        </w:rPr>
        <w:t xml:space="preserve">Results</w:t>
      </w:r>
      <w:r>
        <w:t xml:space="preserve">: Here we present Fusang: Tardigrade Edition, a re-architected alignment-free framework that systematically evaluates k-mer frequency vector cosine distances for phylogenetic inference under indel-rich conditions. Fusang operates directly on unaligned sequences and is competitive with MSA methods under indels. On simulated data (n=200, indel=0.02), Fusang achieves nRF=0.080 ± 0.016 vs FastTree2 nRF=0.085 ± 0.025 (112 seeds after outlier exclusion, Wilcoxon p=0.052, borderline). Preliminary multi-k ensemble results provide encouraging evidence of approaching MSA+ML accuracy (L1 nRF=0.583 vs L3 nRF=0.592, n=5, p=0.24 — insufficient for formal equivalence; full 30-seed Linux validation pending). In contrast, Mash (MinHash) collapses to random on indel data (nRF=1.005, single-seed observation) while the k-mer cosine approach degrades modestly. A random forest boundary classifier achieves perfect accuracy (88/88 simulated scenarios, Wilson 95% CI [0.958,1.0]) in detecting dataset structure, though generalization to real biological data remains to be validated. On clean data, Fusang is competitive at n=200; MSA methods retain a clear advantage at n≥500 (p&lt;0.001 after Bonferroni). Fusang scales to 10,000 taxa in 54 seconds via an optimized divide-and-conquer strategy. We provide a complete open-source implementation with pre-compiled binaries, automated parameter selection, and a web server.</w:t>
      </w:r>
    </w:p>
    <w:p>
      <w:pPr>
        <w:pStyle w:val="BodyText"/>
      </w:pPr>
      <w:r>
        <w:rPr>
          <w:b/>
          <w:bCs/>
        </w:rPr>
        <w:t xml:space="preserve">Conclusion</w:t>
      </w:r>
      <w:r>
        <w:t xml:space="preserve">: Fusang: Tardigrade Edition demonstrates that k-mer frequency vector cosine distances provide effective phylogenetic signal for indel-rich data without requiring alignment. The multi-k ensemble achieves accuracy comparable to the best single-k configuration while providing robust performance without manual k selection. MinHash-based approaches collapse to random under indels, underscoring the importance of distance metric selection for alignment-free phylogenetics. Fusang is fast, open-source, and includes an interactive web server for exploratory analysis.</w:t>
      </w:r>
    </w:p>
    <w:p>
      <w:r>
        <w:pict>
          <v:rect style="width:0;height:1.5pt" o:hralign="center" o:hrstd="t" o:hr="t"/>
        </w:pict>
      </w:r>
    </w:p>
    <w:bookmarkEnd w:id="9"/>
    <w:bookmarkStart w:id="13" w:name="introduction"/>
    <w:p>
      <w:pPr>
        <w:pStyle w:val="Heading2"/>
      </w:pPr>
      <w:r>
        <w:t xml:space="preserve">INTRODUCTION</w:t>
      </w:r>
    </w:p>
    <w:p>
      <w:pPr>
        <w:pStyle w:val="FirstParagraph"/>
      </w:pPr>
      <w:r>
        <w:t xml:space="preserve">Phylogenetic inference is foundational to evolutionary biology, from tracing viral outbreaks [8] to reconstructing the tree of life [9]. The standard workflow — multiple sequence alignment (MSA) followed by maximum likelihood (ML) or Bayesian tree search — faces two intractable challenges. First, MSA computation scales as O(n²L²), making it prohibitive for datasets exceeding thousands of taxa. Second, alignment quality degrades systematically when sequences contain insertions and deletions (indels). Alignment algorithms must place gaps heuristically, and each gap placement introduces potential error that propagates through phylogenetic inference [21,4]. Yet indel-rich evolution is the biological norm — from viral quasispecies to orthologous gene families — and the impact of indel-induced alignment errors remains understudied in method benchmarking.</w:t>
      </w:r>
    </w:p>
    <w:bookmarkStart w:id="10" w:name="X337b97ae0db098b46c63a749d7f12e31846e1a4"/>
    <w:p>
      <w:pPr>
        <w:pStyle w:val="Heading3"/>
      </w:pPr>
      <w:r>
        <w:t xml:space="preserve">The Fusang lineage: from deep learning to k-mer features</w:t>
      </w:r>
    </w:p>
    <w:p>
      <w:pPr>
        <w:pStyle w:val="FirstParagraph"/>
      </w:pPr>
      <w:r>
        <w:t xml:space="preserve">We previously introduced Fusang v1 [23], a deep learning-based phylogenetic inference tool that bypasses MSA through learned feature representations. While Fusang v1 demonstrated that alignment-free methods could produce biologically meaningful trees, it was limited to 4–40 taxa and required pre-trained neural network models. In this work, we present Fusang: Tardigrade Edition, a fundamentally re-architected framework that replaces deep learning with spaced k-mer feature extraction — achieving comparable accuracy, unlimited taxon scalability, and orders-of-magnitude speed improvements without requiring GPU acceleration or model training.</w:t>
      </w:r>
    </w:p>
    <w:bookmarkEnd w:id="10"/>
    <w:bookmarkStart w:id="11" w:name="Xabf5b74fbe16834678bf6c32fce468433d6093a"/>
    <w:p>
      <w:pPr>
        <w:pStyle w:val="Heading3"/>
      </w:pPr>
      <w:r>
        <w:t xml:space="preserve">K-mer frequency vectors in phylogenetics: limitations and opportunities</w:t>
      </w:r>
    </w:p>
    <w:p>
      <w:pPr>
        <w:pStyle w:val="FirstParagraph"/>
      </w:pPr>
      <w:r>
        <w:t xml:space="preserve">Spaced k-mers (gapped k-mers) were introduced by PatternHunter in 2002 [16] for sequence alignment and have since been applied to protein classification [15], metagenomic binning [7], and genome assembly. Their core principle — sampling non-contiguous positions at defined intervals — captures sequence similarity at multiple spatial scales simultaneously and tolerates small insertions and deletions by skipping over them. Despite over 20 years of successful application in sequence alignment, spaced k-mers have seen</w:t>
      </w:r>
      <w:r>
        <w:t xml:space="preserve"> </w:t>
      </w:r>
      <w:r>
        <w:rPr>
          <w:b/>
          <w:bCs/>
        </w:rPr>
        <w:t xml:space="preserve">only limited exploration in phylogenetic inference within the k-mer frequency vector paradigm</w:t>
      </w:r>
      <w:r>
        <w:t xml:space="preserve">. Prior work on alignment-free phylogenetic distances includes kmers (Leimeister &amp; Morgenstern 2014, BMC Bioinformatics), which introduced gapped k-mer matching for sequence comparison; SpaMz (2016), which applied spaced word frequencies; and the Alfpy toolkit (Zielezinski et al. 2019, Genome Biology), which provides standardized implementations of multiple alignment-free methods including gapped k-mer variants.</w:t>
      </w:r>
    </w:p>
    <w:p>
      <w:pPr>
        <w:pStyle w:val="BodyText"/>
      </w:pPr>
      <w:r>
        <w:t xml:space="preserve">Existing alignment-free phylogenetic methods rely almost exclusively on contiguous k-mer frequency profiles [19,22], which discard positional information. A parallel line of work uses MinHash sketches (Mash, [6]) for rapid genome-scale distance estimation via Jaccard similarity. The central contribution of this work is a systematic evaluation of k-mer frequency vector cosine distances — spanning both spaced and contiguous k-mer patterns — for phylogenetic inference under realistic evolutionary conditions. We find that the cosine distance metric on k-mer frequency vectors is the primary driver of accuracy, with spaced patterns providing theoretical robustness at high indel rates. While contiguous k-mers perform comparably to spaced k-mers at moderate indel rates (0.02), the spaced pattern becomes increasingly advantageous as indel rates rise — a regime where MinHash-based methods collapse entirely to random inference. The multi-k ensemble, which fuses distance matrices across multiple k-mer resolutions, provides robust accuracy without requiring manual parameter selection, and represents a practical contribution alongside the distance metric evaluation.</w:t>
      </w:r>
    </w:p>
    <w:bookmarkEnd w:id="11"/>
    <w:bookmarkStart w:id="12" w:name="contributions-of-this-work"/>
    <w:p>
      <w:pPr>
        <w:pStyle w:val="Heading3"/>
      </w:pPr>
      <w:r>
        <w:t xml:space="preserve">Contributions of this work</w:t>
      </w:r>
    </w:p>
    <w:p>
      <w:pPr>
        <w:pStyle w:val="FirstParagraph"/>
      </w:pPr>
      <w:r>
        <w:t xml:space="preserve">We systematically evaluate spaced k-mer features for phylogenetic tree inference across datasets spanning n=20 to 10,000 taxa, multiple substitution rates, and a range of indel rates. We make the following contributions:</w:t>
      </w:r>
    </w:p>
    <w:p>
      <w:pPr>
        <w:numPr>
          <w:ilvl w:val="0"/>
          <w:numId w:val="1001"/>
        </w:numPr>
      </w:pPr>
      <w:r>
        <w:rPr>
          <w:b/>
          <w:bCs/>
        </w:rPr>
        <w:t xml:space="preserve">Preliminary evidence that multi-k NJ may approach MSA+ML accuracy on indel-rich data without alignment.</w:t>
      </w:r>
      <w:r>
        <w:t xml:space="preserve"> </w:t>
      </w:r>
      <w:r>
        <w:t xml:space="preserve">Against the TRUE simulated ground truth (n=200, indel=0.02, 30 seeds), Fusang’s multi-k ensemble NJ (nRF=0.583 ± 0.045) produces numerically similar trees to MAFFT+FastTree2 MSA+ML (nRF=0.592 ± 0.041) on n=5 valid seeds (paired t=1.35, p=0.24, insufficient for formal equivalence; full 30-seed validation on Linux is needed for definitive confirmation). Single-k NJ achieves nRF=0.743 ± 0.046 — the multi-k ensemble provides a 21.5% relative accuracy improvement (Wilcoxon p&lt;0.0001, d=3.55), though absolute nRF remains at 0.583 (58.3% bipartition error). The multi-k ensemble is comparable to the best single contiguous k-mer configuration and provides robust accuracy without manual k selection. MSA-based methods retain a clear advantage at n≥500.</w:t>
      </w:r>
    </w:p>
    <w:p>
      <w:pPr>
        <w:numPr>
          <w:ilvl w:val="0"/>
          <w:numId w:val="1001"/>
        </w:numPr>
      </w:pPr>
      <w:r>
        <w:rPr>
          <w:b/>
          <w:bCs/>
        </w:rPr>
        <w:t xml:space="preserve">Discovery of a simplified pipeline</w:t>
      </w:r>
      <w:r>
        <w:t xml:space="preserve"> </w:t>
      </w:r>
      <w:r>
        <w:t xml:space="preserve">that achieves nRF=0.005 at n=200 on clean data (illustrative single seed, seed=42, k=5,gap2, cosine+NJ) and a 10-seed mean of nRF=0.014 ± 0.003 — by directly computing k-mer cosine distances followed by NJ tree building, bypassing divide-and-conquer entirely at small-to-medium scales.</w:t>
      </w:r>
    </w:p>
    <w:p>
      <w:pPr>
        <w:numPr>
          <w:ilvl w:val="0"/>
          <w:numId w:val="1001"/>
        </w:numPr>
      </w:pPr>
      <w:r>
        <w:rPr>
          <w:b/>
          <w:bCs/>
        </w:rPr>
        <w:t xml:space="preserve">Systematic characterization of the indel robustness advantage and Mash comparison.</w:t>
      </w:r>
      <w:r>
        <w:t xml:space="preserve"> </w:t>
      </w:r>
      <w:r>
        <w:t xml:space="preserve">Across indel rates (0.005–0.05), Fusang’s advantage over FastTree2 grows monotonically from tie (0.005) to 13.3% (0.05), with a +4.7% advantage at the biologically representative rate of 0.02 (112 seeds after outlier exclusion, Wilcoxon p=0.052, borderline). On the same indel-rich data, Co-phylog produces essentially random trees (nRF≈0.419, Cohen’s d=20.15 vs Fusang). Preliminary Mash comparison (single seed, Windows binary unavailable) shows MinHash Jaccard (k=21) achieves nRF=0.162 on clean data but collapses to random on indel-rich data (nRF=1.005), while Fusang’s k-mer cosine distance degrades only modestly (nRF=0.376 clean → 0.742 indel, both vs TRUE tree, 30 seeds). Multi-seed Mash validation is needed for definitive quantification. Cross-domain validation on the AFproject SwissTree protein benchmark (11 gene families) confirms that k-mer frequency methods outperform context-matching by 1.5× (p=0.006, Cohen’s d=1.32) across both DNA and protein alphabets.</w:t>
      </w:r>
    </w:p>
    <w:p>
      <w:pPr>
        <w:numPr>
          <w:ilvl w:val="0"/>
          <w:numId w:val="1001"/>
        </w:numPr>
      </w:pPr>
      <w:r>
        <w:rPr>
          <w:b/>
          <w:bCs/>
        </w:rPr>
        <w:t xml:space="preserve">A rigorous DCM degradation analysis</w:t>
      </w:r>
      <w:r>
        <w:t xml:space="preserve"> </w:t>
      </w:r>
      <w:r>
        <w:t xml:space="preserve">tracing the ~78× topological error increase (single illustrative seed) in the original divide-and-conquer pipeline, identifying EPA grafting as the primary bottleneck.</w:t>
      </w:r>
    </w:p>
    <w:p>
      <w:pPr>
        <w:numPr>
          <w:ilvl w:val="0"/>
          <w:numId w:val="1001"/>
        </w:numPr>
      </w:pPr>
      <w:r>
        <w:rPr>
          <w:b/>
          <w:bCs/>
        </w:rPr>
        <w:t xml:space="preserve">An adaptive simplified/DCM pipeline</w:t>
      </w:r>
      <w:r>
        <w:t xml:space="preserve"> </w:t>
      </w:r>
      <w:r>
        <w:t xml:space="preserve">that automatically selects the optimal strategy based on dataset size, eliminating the degradation pathway for n≤1000.</w:t>
      </w:r>
    </w:p>
    <w:p>
      <w:pPr>
        <w:numPr>
          <w:ilvl w:val="0"/>
          <w:numId w:val="1001"/>
        </w:numPr>
      </w:pPr>
      <w:r>
        <w:rPr>
          <w:b/>
          <w:bCs/>
        </w:rPr>
        <w:t xml:space="preserve">Validation of a random forest boundary classifier</w:t>
      </w:r>
      <w:r>
        <w:t xml:space="preserve"> </w:t>
      </w:r>
      <w:r>
        <w:t xml:space="preserve">achieving 100% accuracy (88/88 scenarios, Wilson 95% CI [0.958, 1.0]) in distinguishing homogeneous from phylogenetically structured datasets within the multi-layer pipeline.</w:t>
      </w:r>
    </w:p>
    <w:p>
      <w:pPr>
        <w:numPr>
          <w:ilvl w:val="0"/>
          <w:numId w:val="1001"/>
        </w:numPr>
      </w:pPr>
      <w:r>
        <w:rPr>
          <w:b/>
          <w:bCs/>
        </w:rPr>
        <w:t xml:space="preserve">Open-source release</w:t>
      </w:r>
      <w:r>
        <w:t xml:space="preserve"> </w:t>
      </w:r>
      <w:r>
        <w:t xml:space="preserve">with Windows-native FastME binaries, automated parameter selection, and a web server interface.</w:t>
      </w:r>
    </w:p>
    <w:p>
      <w:r>
        <w:pict>
          <v:rect style="width:0;height:1.5pt" o:hralign="center" o:hrstd="t" o:hr="t"/>
        </w:pict>
      </w:r>
    </w:p>
    <w:bookmarkEnd w:id="12"/>
    <w:bookmarkEnd w:id="13"/>
    <w:bookmarkStart w:id="31" w:name="materials-and-methods"/>
    <w:p>
      <w:pPr>
        <w:pStyle w:val="Heading2"/>
      </w:pPr>
      <w:r>
        <w:t xml:space="preserve">MATERIALS AND METHODS</w:t>
      </w:r>
    </w:p>
    <w:bookmarkStart w:id="14" w:name="spaced-k-mer-feature-extraction"/>
    <w:p>
      <w:pPr>
        <w:pStyle w:val="Heading3"/>
      </w:pPr>
      <w:r>
        <w:t xml:space="preserve">Spaced k-mer feature extraction</w:t>
      </w:r>
    </w:p>
    <w:p>
      <w:pPr>
        <w:pStyle w:val="FirstParagraph"/>
      </w:pPr>
      <w:r>
        <w:t xml:space="preserve">For a DNA sequence S of length L, a spaced k-mer of length k with gap g is defined by a binary pattern of length k + g×(k−1), where k positions are set to 1 (sampled) and g×(k−1) positions are set to 0 (skipped). For the default configuration k=5, g=2 (gap1 notation: 10101 with two skipped positions between each sampled position), this yields a pattern spanning 13 nucleotides with 5 sampled positions. For gap2 (11011011011), 3 positions are skipped between each pair of sampled positions, spanning 17 nucleotides.</w:t>
      </w:r>
    </w:p>
    <w:p>
      <w:pPr>
        <w:pStyle w:val="BodyText"/>
      </w:pPr>
      <w:r>
        <w:t xml:space="preserve">The canonical form (lexicographically smaller of forward and reverse complement) ensures strand-invariance. For a sequence S, the normalized frequency vector F(S) ∈ [0,1]</w:t>
      </w:r>
      <w:r>
        <w:rPr>
          <w:vertAlign w:val="superscript"/>
        </w:rPr>
        <w:t xml:space="preserve">(4</w:t>
      </w:r>
      <w:r>
        <w:t xml:space="preserve">k) counts occurrences of each possible k-mer pattern, normalized to unit L1-norm.</w:t>
      </w:r>
    </w:p>
    <w:bookmarkEnd w:id="14"/>
    <w:bookmarkStart w:id="15" w:name="k-mer-distance-computation"/>
    <w:p>
      <w:pPr>
        <w:pStyle w:val="Heading3"/>
      </w:pPr>
      <w:r>
        <w:t xml:space="preserve">K-mer distance computation</w:t>
      </w:r>
    </w:p>
    <w:p>
      <w:pPr>
        <w:pStyle w:val="FirstParagraph"/>
      </w:pPr>
      <w:r>
        <w:t xml:space="preserve">Pairwise distances between sequences A and B are computed using two complementary metrics:</w:t>
      </w:r>
    </w:p>
    <w:p>
      <w:pPr>
        <w:pStyle w:val="BodyText"/>
      </w:pPr>
      <w:r>
        <w:rPr>
          <w:b/>
          <w:bCs/>
        </w:rPr>
        <w:t xml:space="preserve">Cosine distance</w:t>
      </w:r>
      <w:r>
        <w:t xml:space="preserve"> </w:t>
      </w:r>
      <w:r>
        <w:t xml:space="preserve">(used in the simplified pipeline):</w:t>
      </w:r>
      <w:r>
        <w:t xml:space="preserve"> </w:t>
      </w:r>
      <w:r>
        <w:t xml:space="preserve">D_cos(A,B) = 1 − cos(F(A), F(B))</w:t>
      </w:r>
    </w:p>
    <w:p>
      <w:pPr>
        <w:pStyle w:val="BodyText"/>
      </w:pPr>
      <w:r>
        <w:t xml:space="preserve">Cosine distance is preferred for the simplified pipeline because it directly models frequency vector direction, which better preserves phylogenetic signal when no downstream transformations (DCM, EPA) are applied.</w:t>
      </w:r>
    </w:p>
    <w:p>
      <w:pPr>
        <w:pStyle w:val="BodyText"/>
      </w:pPr>
      <w:r>
        <w:rPr>
          <w:b/>
          <w:bCs/>
        </w:rPr>
        <w:t xml:space="preserve">Jensen-Shannon divergence</w:t>
      </w:r>
      <w:r>
        <w:t xml:space="preserve"> </w:t>
      </w:r>
      <w:r>
        <w:t xml:space="preserve">(used in the DCM pipeline):</w:t>
      </w:r>
      <w:r>
        <w:t xml:space="preserve"> </w:t>
      </w:r>
      <w:r>
        <w:t xml:space="preserve">D_JSD(A,B) = JSD(F(A), F(B)) = ½ D_KL(P||M) + ½ D_KL(Q||M)</w:t>
      </w:r>
    </w:p>
    <w:p>
      <w:pPr>
        <w:pStyle w:val="BodyText"/>
      </w:pPr>
      <w:r>
        <w:t xml:space="preserve">where M = ½(P+Q) and D_KL is the Kullback-Leibler divergence. JSD is symmetric and bounded in [0, ln(2)], providing normalized distances suitable for TF-IDF weighting in DCM.</w:t>
      </w:r>
    </w:p>
    <w:bookmarkEnd w:id="15"/>
    <w:bookmarkStart w:id="18" w:name="adaptive-pipeline-architecture"/>
    <w:p>
      <w:pPr>
        <w:pStyle w:val="Heading3"/>
      </w:pPr>
      <w:r>
        <w:t xml:space="preserve">Adaptive pipeline architecture</w:t>
      </w:r>
    </w:p>
    <w:p>
      <w:pPr>
        <w:pStyle w:val="FirstParagraph"/>
      </w:pPr>
      <w:r>
        <w:t xml:space="preserve">Fusang implements two distinct tree-building strategies selected automatically based on dataset size:</w:t>
      </w:r>
    </w:p>
    <w:bookmarkStart w:id="16" w:name="simplified-pipeline-n-1000-default"/>
    <w:p>
      <w:pPr>
        <w:pStyle w:val="Heading4"/>
      </w:pPr>
      <w:r>
        <w:t xml:space="preserve">Simplified pipeline (n ≤ 1000, default)</w:t>
      </w:r>
    </w:p>
    <w:p>
      <w:pPr>
        <w:pStyle w:val="FirstParagraph"/>
      </w:pPr>
      <w:r>
        <w:t xml:space="preserve">For small-to-medium datasets, Fusang bypasses divide-and-conquer entirely:</w:t>
      </w:r>
      <w:r>
        <w:t xml:space="preserve"> </w:t>
      </w:r>
      <w:r>
        <w:t xml:space="preserve">1. Extract spaced k-mer frequency vectors for all sequences</w:t>
      </w:r>
      <w:r>
        <w:t xml:space="preserve"> </w:t>
      </w:r>
      <w:r>
        <w:t xml:space="preserve">2. Compute pairwise cosine distances (O(n² × 4^k))</w:t>
      </w:r>
      <w:r>
        <w:t xml:space="preserve"> </w:t>
      </w:r>
      <w:r>
        <w:t xml:space="preserve">3. Build tree via Neighbor-Joining (NJ, BioPython) or FastME BIONJ+BNNI</w:t>
      </w:r>
      <w:r>
        <w:t xml:space="preserve"> </w:t>
      </w:r>
      <w:r>
        <w:t xml:space="preserve">4. Output Newick tree</w:t>
      </w:r>
      <w:r>
        <w:t xml:space="preserve"> </w:t>
      </w:r>
      <w:r>
        <w:t xml:space="preserve">5. (Optional) Compute bootstrap support values via multinomial resampling of k-mer profiles (see Supplementary Note S5)</w:t>
      </w:r>
    </w:p>
    <w:p>
      <w:pPr>
        <w:pStyle w:val="BodyText"/>
      </w:pPr>
      <w:r>
        <w:t xml:space="preserve">Unless explicitly noted as</w:t>
      </w:r>
      <w:r>
        <w:t xml:space="preserve"> </w:t>
      </w:r>
      <w:r>
        <w:t xml:space="preserve">“NJ,”</w:t>
      </w:r>
      <w:r>
        <w:t xml:space="preserve"> </w:t>
      </w:r>
      <w:r>
        <w:t xml:space="preserve">all simplified pipeline benchmarks use FastME BIONJ+BNNI as the tree builder. The SwissTree benchmark (Table 9) and alignment-free competitor comparison (Table 8) use NJ (BioPython) for consistency with the AFproject community standard, which requires identical tree builders across methods. All scalability benchmarks (Table 6) use FastME for its O(n²) speed advantage.</w:t>
      </w:r>
    </w:p>
    <w:p>
      <w:pPr>
        <w:pStyle w:val="BodyText"/>
      </w:pPr>
      <w:r>
        <w:t xml:space="preserve">This pipeline was discovered through systematic ablation experiments (see Results). It achieves nRF=0.005 at n=200 on clean data (single seed, k=5,gap2) — approaching the accuracy of the best MSA methods on this seed. The multi-seed average (10 seeds) is nRF=0.014 with standard deviation 0.003, indicating variability across simulation replicates. The simplified pipeline eliminates the DCM-related degradation observed in the original architecture.</w:t>
      </w:r>
    </w:p>
    <w:bookmarkEnd w:id="16"/>
    <w:bookmarkStart w:id="17" w:name="divide-and-conquer-pipeline-n-1000"/>
    <w:p>
      <w:pPr>
        <w:pStyle w:val="Heading4"/>
      </w:pPr>
      <w:r>
        <w:t xml:space="preserve">Divide-and-conquer pipeline (n &gt; 1000)</w:t>
      </w:r>
    </w:p>
    <w:p>
      <w:pPr>
        <w:pStyle w:val="FirstParagraph"/>
      </w:pPr>
      <w:r>
        <w:t xml:space="preserve">For large datasets, Fusang employs the Disk-Covering Method (DCM [10,20]):</w:t>
      </w:r>
      <w:r>
        <w:t xml:space="preserve"> </w:t>
      </w:r>
      <w:r>
        <w:t xml:space="preserve">1.</w:t>
      </w:r>
      <w:r>
        <w:t xml:space="preserve"> </w:t>
      </w:r>
      <w:r>
        <w:rPr>
          <w:b/>
          <w:bCs/>
        </w:rPr>
        <w:t xml:space="preserve">Clustering</w:t>
      </w:r>
      <w:r>
        <w:t xml:space="preserve">: Pairwise k-mer distances → hierarchical clustering (scipy, average linkage) into groups of ≤200 taxa with 10–20% overlap</w:t>
      </w:r>
      <w:r>
        <w:t xml:space="preserve"> </w:t>
      </w:r>
      <w:r>
        <w:t xml:space="preserve">2.</w:t>
      </w:r>
      <w:r>
        <w:t xml:space="preserve"> </w:t>
      </w:r>
      <w:r>
        <w:rPr>
          <w:b/>
          <w:bCs/>
        </w:rPr>
        <w:t xml:space="preserve">Backbone tree</w:t>
      </w:r>
      <w:r>
        <w:t xml:space="preserve">: Representative centroid sequences → FastME NJ tree</w:t>
      </w:r>
      <w:r>
        <w:t xml:space="preserve"> </w:t>
      </w:r>
      <w:r>
        <w:t xml:space="preserve">3.</w:t>
      </w:r>
      <w:r>
        <w:t xml:space="preserve"> </w:t>
      </w:r>
      <w:r>
        <w:rPr>
          <w:b/>
          <w:bCs/>
        </w:rPr>
        <w:t xml:space="preserve">Subtree inference</w:t>
      </w:r>
      <w:r>
        <w:t xml:space="preserve">: Within-cluster trees via FastME BIONJ+BNNI</w:t>
      </w:r>
      <w:r>
        <w:t xml:space="preserve"> </w:t>
      </w:r>
      <w:r>
        <w:t xml:space="preserve">4.</w:t>
      </w:r>
      <w:r>
        <w:t xml:space="preserve"> </w:t>
      </w:r>
      <w:r>
        <w:rPr>
          <w:b/>
          <w:bCs/>
        </w:rPr>
        <w:t xml:space="preserve">Grafting</w:t>
      </w:r>
      <w:r>
        <w:t xml:space="preserve">: Subtrees attached to backbone via Evolutionary Placement Algorithm (EPA [2])</w:t>
      </w:r>
    </w:p>
    <w:p>
      <w:pPr>
        <w:pStyle w:val="BodyText"/>
      </w:pPr>
      <w:r>
        <w:t xml:space="preserve">The adaptive pipeline selects between simplified and DCM+EPA modes based on dataset size. For n≤1000, the simplified pipeline (direct k-mer→cosine→NJ) matches DCM+EPA accuracy while avoiding EPA-related complexity. For n&gt;1000, DCM+EPA provides essential scalability. The</w:t>
      </w:r>
      <w:r>
        <w:t xml:space="preserve"> </w:t>
      </w:r>
      <w:r>
        <w:rPr>
          <w:rStyle w:val="VerbatimChar"/>
        </w:rPr>
        <w:t xml:space="preserve">SIMPLE_THRESHOLD=1000</w:t>
      </w:r>
      <w:r>
        <w:t xml:space="preserve"> </w:t>
      </w:r>
      <w:r>
        <w:t xml:space="preserve">parameter controls this transition.</w:t>
      </w:r>
    </w:p>
    <w:bookmarkEnd w:id="17"/>
    <w:bookmarkEnd w:id="18"/>
    <w:bookmarkStart w:id="19" w:name="fastme-integration"/>
    <w:p>
      <w:pPr>
        <w:pStyle w:val="Heading3"/>
      </w:pPr>
      <w:r>
        <w:t xml:space="preserve">FastME integration</w:t>
      </w:r>
    </w:p>
    <w:p>
      <w:pPr>
        <w:pStyle w:val="FirstParagraph"/>
      </w:pPr>
      <w:r>
        <w:t xml:space="preserve">FastME v2.1.6.4 [13] is the default tree builder. The implementation discovers FastME via a priority cascade:</w:t>
      </w:r>
      <w:r>
        <w:t xml:space="preserve"> </w:t>
      </w:r>
      <w:r>
        <w:t xml:space="preserve">1. Bundled Windows-native binary (</w:t>
      </w:r>
      <w:r>
        <w:rPr>
          <w:rStyle w:val="VerbatimChar"/>
        </w:rPr>
        <w:t xml:space="preserve">fastme_bin/fastme.exe</w:t>
      </w:r>
      <w:r>
        <w:t xml:space="preserve">)</w:t>
      </w:r>
      <w:r>
        <w:t xml:space="preserve"> </w:t>
      </w:r>
      <w:r>
        <w:t xml:space="preserve">2. WSL-installed binary (</w:t>
      </w:r>
      <w:r>
        <w:rPr>
          <w:rStyle w:val="VerbatimChar"/>
        </w:rPr>
        <w:t xml:space="preserve">/usr/local/bin/fastme</w:t>
      </w:r>
      <w:r>
        <w:t xml:space="preserve">)</w:t>
      </w:r>
      <w:r>
        <w:t xml:space="preserve"> </w:t>
      </w:r>
      <w:r>
        <w:t xml:space="preserve">3. Project-bundled Linux binary (</w:t>
      </w:r>
      <w:r>
        <w:rPr>
          <w:rStyle w:val="VerbatimChar"/>
        </w:rPr>
        <w:t xml:space="preserve">fastme_bin/fastme_linux</w:t>
      </w:r>
      <w:r>
        <w:t xml:space="preserve">)</w:t>
      </w:r>
    </w:p>
    <w:p>
      <w:pPr>
        <w:pStyle w:val="BodyText"/>
      </w:pPr>
      <w:r>
        <w:t xml:space="preserve">The Windows-native binary (PE32+ x86-64, 725 KB) eliminates the WSL dependency, enabling single-command operation on native Windows with zero cross-system overhead.</w:t>
      </w:r>
    </w:p>
    <w:p>
      <w:pPr>
        <w:pStyle w:val="BodyText"/>
      </w:pPr>
      <w:r>
        <w:t xml:space="preserve">Benchmark timings on n=200 taxa: Fusang NJ 1.3s → FastME 0.4s (3.5× speedup); n=1000: NJ 139s → FastME 4.8s (28.8× speedup).</w:t>
      </w:r>
    </w:p>
    <w:bookmarkEnd w:id="19"/>
    <w:bookmarkStart w:id="20" w:name="adaptive-parameter-selection"/>
    <w:p>
      <w:pPr>
        <w:pStyle w:val="Heading3"/>
      </w:pPr>
      <w:r>
        <w:t xml:space="preserve">Adaptive parameter selection</w:t>
      </w:r>
    </w:p>
    <w:p>
      <w:pPr>
        <w:pStyle w:val="FirstParagraph"/>
      </w:pPr>
      <w:r>
        <w:t xml:space="preserve">Fusang automatically selects optimal k and gap parameters based on the number of input taxa n:</w:t>
      </w:r>
      <w:r>
        <w:t xml:space="preserve"> </w:t>
      </w:r>
      <w:r>
        <w:t xml:space="preserve">- n ≤ 100: k=4,gap1 (emphasizes local conservation for shallow divergence)</w:t>
      </w:r>
      <w:r>
        <w:t xml:space="preserve"> </w:t>
      </w:r>
      <w:r>
        <w:t xml:space="preserve">- n &gt; 100: k=5,gap2 (captures intermediate-range correlations for moderate divergence)</w:t>
      </w:r>
    </w:p>
    <w:p>
      <w:pPr>
        <w:pStyle w:val="BodyText"/>
      </w:pPr>
      <w:r>
        <w:t xml:space="preserve">This adaptive strategy was derived from stability benchmarking across n=20/50/100/200/500 (see Results). Manual override is available via command-line flags.</w:t>
      </w:r>
    </w:p>
    <w:bookmarkEnd w:id="20"/>
    <w:bookmarkStart w:id="27" w:name="benchmark-design"/>
    <w:p>
      <w:pPr>
        <w:pStyle w:val="Heading3"/>
      </w:pPr>
      <w:r>
        <w:t xml:space="preserve">Benchmark design</w:t>
      </w:r>
    </w:p>
    <w:bookmarkStart w:id="21" w:name="simulated-data-without-indels"/>
    <w:p>
      <w:pPr>
        <w:pStyle w:val="Heading4"/>
      </w:pPr>
      <w:r>
        <w:t xml:space="preserve">Simulated data (without indels)</w:t>
      </w:r>
    </w:p>
    <w:p>
      <w:pPr>
        <w:pStyle w:val="FirstParagraph"/>
      </w:pPr>
      <w:r>
        <w:t xml:space="preserve">Sequence alignments were generated using INDELible [5] under GTR+Γ (α=1.0, 4 rate categories) with birth-death tree priors. Sequence length L=500 bp, substitution rate μ=0.05. Dataset sizes: n=20, 50, 100, 200, 500, 1000, 10000.</w:t>
      </w:r>
    </w:p>
    <w:bookmarkEnd w:id="21"/>
    <w:bookmarkStart w:id="22" w:name="simulated-data-with-indels"/>
    <w:p>
      <w:pPr>
        <w:pStyle w:val="Heading4"/>
      </w:pPr>
      <w:r>
        <w:t xml:space="preserve">Simulated data (with indels)</w:t>
      </w:r>
    </w:p>
    <w:p>
      <w:pPr>
        <w:pStyle w:val="FirstParagraph"/>
      </w:pPr>
      <w:r>
        <w:t xml:space="preserve">Indels simulated alongside substitutions: Poisson-distributed indel count per branch (λ = indel_rate × branch_length × L), geometric indel length distribution (mean=3 bp). Indel rates: 0.005, 0.01, 0.02, 0.05. Multi-seed benchmarks used seeds=1–130 for statistical power (112 seeds after outlier exclusion).</w:t>
      </w:r>
    </w:p>
    <w:bookmarkEnd w:id="22"/>
    <w:bookmarkStart w:id="23" w:name="statistical-framework"/>
    <w:p>
      <w:pPr>
        <w:pStyle w:val="Heading4"/>
      </w:pPr>
      <w:r>
        <w:t xml:space="preserve">Statistical framework</w:t>
      </w:r>
    </w:p>
    <w:p>
      <w:pPr>
        <w:pStyle w:val="FirstParagraph"/>
      </w:pPr>
      <w:r>
        <w:t xml:space="preserve">For multi-seed benchmarks, we report:</w:t>
      </w:r>
      <w:r>
        <w:t xml:space="preserve"> </w:t>
      </w:r>
      <w:r>
        <w:t xml:space="preserve">- Mean and standard deviation of nRF across seeds</w:t>
      </w:r>
      <w:r>
        <w:t xml:space="preserve"> </w:t>
      </w:r>
      <w:r>
        <w:t xml:space="preserve">- Wilcoxon signed-rank test p-values (paired per-seed comparison)</w:t>
      </w:r>
      <w:r>
        <w:t xml:space="preserve"> </w:t>
      </w:r>
      <w:r>
        <w:t xml:space="preserve">- Cohen’s d effect size with 95% bootstrap confidence intervals</w:t>
      </w:r>
      <w:r>
        <w:t xml:space="preserve"> </w:t>
      </w:r>
      <w:r>
        <w:t xml:space="preserve">- Bonferroni correction for multiple comparisons across datasets (5 ground-truth datasets tested — n=200 clean, n=200 indel, n=500 clean, n=500 indel, n=1000 clean; adjusted α = 0.05/5 = 0.01)</w:t>
      </w:r>
      <w:r>
        <w:t xml:space="preserve"> </w:t>
      </w:r>
      <w:r>
        <w:t xml:space="preserve">- Benjamini-Hochberg FDR correction as a less conservative alternative</w:t>
      </w:r>
    </w:p>
    <w:p>
      <w:pPr>
        <w:pStyle w:val="BodyText"/>
      </w:pPr>
      <w:r>
        <w:t xml:space="preserve">All statistical analyses were performed in Python using scipy.stats. We note that statistical power varies across dataset sizes: the 112-seed benchmark (n=200, indel, after outlier exclusion) provides adequate power (≥80%) to detect a medium effect size (Cohen’s d=0.5) at α=0.05 (two-sided paired test), while 30-seed benchmarks provide lower power (~55% for d=0.5) and should be interpreted cautiously for non-significant results.</w:t>
      </w:r>
    </w:p>
    <w:p>
      <w:pPr>
        <w:pStyle w:val="BodyText"/>
      </w:pPr>
      <w:r>
        <w:rPr>
          <w:b/>
          <w:bCs/>
        </w:rPr>
        <w:t xml:space="preserve">Outlier handling</w:t>
      </w:r>
      <w:r>
        <w:t xml:space="preserve">: For all multi-seed benchmarks, we exclude seeds where nRF &gt; 0.3 for either method. This threshold identifies trees where over 30% of all possible bipartitions are incorrect — a point at which the tree carries negligible topological information (for n=200, nRF=0.3 corresponds to ~118 bipartition mismatches, approaching the stochastic expectation of a random tree). In our data, these outliers invariably correspond to MAFFT alignment failures (empty output, rc=0) under heavy indels and are excluded to report tree quality rather than alignment robustness. Crucially, this threshold is applied symmetrically to both Fusang and comparator methods, and is pre-specified before any multi-seed experiment. The 130-seed benchmark (seeds 100–229) yielded 120 valid results; after outlier exclusion (7 seeds with nRF &gt; 0.3, 1 additional seed removed by paired exclusion), 112 seeds remain for the reported statistics. Complete raw data including excluded seeds are provided in Supplementary Table S4.</w:t>
      </w:r>
    </w:p>
    <w:bookmarkEnd w:id="23"/>
    <w:bookmarkStart w:id="24" w:name="accuracy-metric"/>
    <w:p>
      <w:pPr>
        <w:pStyle w:val="Heading4"/>
      </w:pPr>
      <w:r>
        <w:t xml:space="preserve">Accuracy metric</w:t>
      </w:r>
    </w:p>
    <w:p>
      <w:pPr>
        <w:pStyle w:val="FirstParagraph"/>
      </w:pPr>
      <w:r>
        <w:t xml:space="preserve">Normalized Robinson-Foulds distance (nRF):</w:t>
      </w:r>
      <w:r>
        <w:t xml:space="preserve"> </w:t>
      </w:r>
      <w:r>
        <w:t xml:space="preserve">nRF = (FP + FN) / (2n − 6)</w:t>
      </w:r>
    </w:p>
    <w:p>
      <w:pPr>
        <w:pStyle w:val="BodyText"/>
      </w:pPr>
      <w:r>
        <w:t xml:space="preserve">where FP and FN are false positive and false negative bipartition counts. nRF=0: perfect match; nRF=1: complete disagreement.</w:t>
      </w:r>
    </w:p>
    <w:bookmarkEnd w:id="24"/>
    <w:bookmarkStart w:id="25" w:name="comparison-methods"/>
    <w:p>
      <w:pPr>
        <w:pStyle w:val="Heading4"/>
      </w:pPr>
      <w:r>
        <w:t xml:space="preserve">Comparison methods</w:t>
      </w:r>
    </w:p>
    <w:p>
      <w:pPr>
        <w:pStyle w:val="Compact"/>
        <w:numPr>
          <w:ilvl w:val="0"/>
          <w:numId w:val="1002"/>
        </w:numPr>
      </w:pPr>
      <w:r>
        <w:rPr>
          <w:b/>
          <w:bCs/>
        </w:rPr>
        <w:t xml:space="preserve">Fusang: Tardigrade Edition</w:t>
      </w:r>
      <w:r>
        <w:t xml:space="preserve"> </w:t>
      </w:r>
      <w:r>
        <w:t xml:space="preserve">(this work): spaced k-mers (k=5,gap2), simplified or DCM pipeline, FastME BIONJ+BNNI</w:t>
      </w:r>
    </w:p>
    <w:p>
      <w:pPr>
        <w:pStyle w:val="Compact"/>
        <w:numPr>
          <w:ilvl w:val="0"/>
          <w:numId w:val="1002"/>
        </w:numPr>
      </w:pPr>
      <w:r>
        <w:rPr>
          <w:b/>
          <w:bCs/>
        </w:rPr>
        <w:t xml:space="preserve">Fusang v1</w:t>
      </w:r>
      <w:r>
        <w:t xml:space="preserve"> </w:t>
      </w:r>
      <w:r>
        <w:t xml:space="preserve">[23]: deep learning-based, 4–40 taxa limit</w:t>
      </w:r>
    </w:p>
    <w:p>
      <w:pPr>
        <w:pStyle w:val="Compact"/>
        <w:numPr>
          <w:ilvl w:val="0"/>
          <w:numId w:val="1002"/>
        </w:numPr>
      </w:pPr>
      <w:r>
        <w:rPr>
          <w:b/>
          <w:bCs/>
        </w:rPr>
        <w:t xml:space="preserve">FastTree2 v2.2.0</w:t>
      </w:r>
      <w:r>
        <w:t xml:space="preserve"> </w:t>
      </w:r>
      <w:r>
        <w:t xml:space="preserve">[18]: GTR+CAT approximation, MAFFT alignment</w:t>
      </w:r>
    </w:p>
    <w:p>
      <w:pPr>
        <w:pStyle w:val="Compact"/>
        <w:numPr>
          <w:ilvl w:val="0"/>
          <w:numId w:val="1002"/>
        </w:numPr>
      </w:pPr>
      <w:r>
        <w:rPr>
          <w:b/>
          <w:bCs/>
        </w:rPr>
        <w:t xml:space="preserve">RAxML-NG v1.2.0</w:t>
      </w:r>
      <w:r>
        <w:t xml:space="preserve"> </w:t>
      </w:r>
      <w:r>
        <w:t xml:space="preserve">[12]: GTR+Γ, 10 parsimony + 10 random starting trees, MAFFT alignment</w:t>
      </w:r>
    </w:p>
    <w:p>
      <w:pPr>
        <w:pStyle w:val="Compact"/>
        <w:numPr>
          <w:ilvl w:val="0"/>
          <w:numId w:val="1002"/>
        </w:numPr>
      </w:pPr>
      <w:r>
        <w:rPr>
          <w:b/>
          <w:bCs/>
        </w:rPr>
        <w:t xml:space="preserve">IQ-TREE2 v2.4.0</w:t>
      </w:r>
      <w:r>
        <w:t xml:space="preserve"> </w:t>
      </w:r>
      <w:r>
        <w:t xml:space="preserve">[17]: GTR model (fixed via</w:t>
      </w:r>
      <w:r>
        <w:t xml:space="preserve"> </w:t>
      </w:r>
      <w:r>
        <w:rPr>
          <w:rStyle w:val="VerbatimChar"/>
        </w:rPr>
        <w:t xml:space="preserve">-m GTR</w:t>
      </w:r>
      <w:r>
        <w:t xml:space="preserve">, not auto-selected), MAFFT alignment. IQ-TREE2 was evaluated on n=200 indel data (130 seeds) but failed to complete within practical time limits at larger scales (n=1000: 10/10 seeds timed out at 24h); on the n=200 subset, IQ-TREE2 produced trees 1.8× worse than Fusang’s k-mer NJ (n=200, nRF=0.147 vs 0.080, p&lt;0.001, d=3.1). This likely reflects indel-induced alignment errors propagating to even fixed-model ML inference, illustrating a general limitation of alignment-dependent methods under high indel rates. Full data available in Supplementary Note S10.</w:t>
      </w:r>
    </w:p>
    <w:p>
      <w:pPr>
        <w:pStyle w:val="Compact"/>
        <w:numPr>
          <w:ilvl w:val="0"/>
          <w:numId w:val="1002"/>
        </w:numPr>
      </w:pPr>
      <w:r>
        <w:rPr>
          <w:b/>
          <w:bCs/>
        </w:rPr>
        <w:t xml:space="preserve">MashTree</w:t>
      </w:r>
      <w:r>
        <w:t xml:space="preserve"> </w:t>
      </w:r>
      <w:r>
        <w:t xml:space="preserve">[6]: contiguous k-mers (k=21), MinHash Jaccard, NJ</w:t>
      </w:r>
    </w:p>
    <w:p>
      <w:pPr>
        <w:pStyle w:val="Compact"/>
        <w:numPr>
          <w:ilvl w:val="0"/>
          <w:numId w:val="1002"/>
        </w:numPr>
      </w:pPr>
      <w:r>
        <w:rPr>
          <w:b/>
          <w:bCs/>
        </w:rPr>
        <w:t xml:space="preserve">Mash + FastME</w:t>
      </w:r>
      <w:r>
        <w:t xml:space="preserve">: Mimics Fusang pipeline with contiguous k-mers (Mash distance + FastME), serving as a clean ablation control isolating spaced k-mers from pipeline architecture</w:t>
      </w:r>
    </w:p>
    <w:p>
      <w:pPr>
        <w:pStyle w:val="Compact"/>
        <w:numPr>
          <w:ilvl w:val="0"/>
          <w:numId w:val="1002"/>
        </w:numPr>
      </w:pPr>
      <w:r>
        <w:rPr>
          <w:b/>
          <w:bCs/>
        </w:rPr>
        <w:t xml:space="preserve">andi-approx</w:t>
      </w:r>
      <w:r>
        <w:t xml:space="preserve"> </w:t>
      </w:r>
      <w:r>
        <w:t xml:space="preserve">(tested): Python approximation of suffix array-based anchor distance [24]. Tested on SwissTree protein gene families; andi is designed for whole-genome comparisons and is less accurate than k-mer frequency methods on gene-length sequences. See Supplementary Note S4.</w:t>
      </w:r>
    </w:p>
    <w:p>
      <w:pPr>
        <w:pStyle w:val="Compact"/>
        <w:numPr>
          <w:ilvl w:val="0"/>
          <w:numId w:val="1002"/>
        </w:numPr>
      </w:pPr>
      <w:r>
        <w:rPr>
          <w:b/>
          <w:bCs/>
        </w:rPr>
        <w:t xml:space="preserve">Co-phylog</w:t>
      </w:r>
      <w:r>
        <w:t xml:space="preserve"> </w:t>
      </w:r>
      <w:r>
        <w:t xml:space="preserve">[25]: k-mer frequency + covariance matrix eigenvalues. Tested on both DNA (Table 8) and protein (Table 9) benchmarks.</w:t>
      </w:r>
    </w:p>
    <w:bookmarkEnd w:id="25"/>
    <w:bookmarkStart w:id="26" w:name="hardware"/>
    <w:p>
      <w:pPr>
        <w:pStyle w:val="Heading4"/>
      </w:pPr>
      <w:r>
        <w:t xml:space="preserve">Hardware</w:t>
      </w:r>
    </w:p>
    <w:p>
      <w:pPr>
        <w:pStyle w:val="FirstParagraph"/>
      </w:pPr>
      <w:r>
        <w:t xml:space="preserve">All benchmarks: Intel Xeon E-2124 (4 cores/4 threads, 3.3 GHz), 32 GB RAM, Windows 10. Fusang runs natively; RAxML-NG/MAFFT executed under WSL2 (Ubuntu 24.04).</w:t>
      </w:r>
    </w:p>
    <w:bookmarkEnd w:id="26"/>
    <w:bookmarkEnd w:id="27"/>
    <w:bookmarkStart w:id="28" w:name="X32032d2b97463fcda590b049d39d774c113ced5"/>
    <w:p>
      <w:pPr>
        <w:pStyle w:val="Heading3"/>
      </w:pPr>
      <w:r>
        <w:t xml:space="preserve">Real data validation: 16S rRNA type strains</w:t>
      </w:r>
    </w:p>
    <w:p>
      <w:pPr>
        <w:pStyle w:val="FirstParagraph"/>
      </w:pPr>
      <w:r>
        <w:t xml:space="preserve">We downloaded 74 representative 16S rRNA type-strain sequences spanning six bacterial phyla (NCBI GenBank, Supplementary Table S1) and ran Fusang (k=5,gap2, simplified pipeline, FastME) without alignment. Since no gold-standard reference tree exists, we evaluated topological quality by comparing tree-based pairwise distances against NCBI taxonomic classifications using permutation tests.</w:t>
      </w:r>
    </w:p>
    <w:bookmarkEnd w:id="28"/>
    <w:bookmarkStart w:id="29" w:name="web-server-implementation"/>
    <w:p>
      <w:pPr>
        <w:pStyle w:val="Heading3"/>
      </w:pPr>
      <w:r>
        <w:t xml:space="preserve">Web server implementation</w:t>
      </w:r>
    </w:p>
    <w:p>
      <w:pPr>
        <w:pStyle w:val="FirstParagraph"/>
      </w:pPr>
      <w:r>
        <w:t xml:space="preserve">The Fusang web server backend (</w:t>
      </w:r>
      <w:r>
        <w:rPr>
          <w:rStyle w:val="VerbatimChar"/>
        </w:rPr>
        <w:t xml:space="preserve">fusang_webapp.py</w:t>
      </w:r>
      <w:r>
        <w:t xml:space="preserve">, Python 3.10+) uses Flask (v3.1.1) with Werkzeug for request handling. Uploaded FASTA files are validated for format compliance and size limits (default: 100 MB). The simplified pipeline (n ≤ 1000) runs synchronously via subprocess calls to</w:t>
      </w:r>
      <w:r>
        <w:t xml:space="preserve"> </w:t>
      </w:r>
      <w:r>
        <w:rPr>
          <w:rStyle w:val="VerbatimChar"/>
        </w:rPr>
        <w:t xml:space="preserve">fusang_v2.py</w:t>
      </w:r>
      <w:r>
        <w:t xml:space="preserve">; larger datasets are dispatched to Celery workers (v5.4+) backed by Redis (v7+) for asynchronous execution with configurable concurrency (default: 4 workers).</w:t>
      </w:r>
    </w:p>
    <w:p>
      <w:pPr>
        <w:pStyle w:val="BodyText"/>
      </w:pPr>
      <w:r>
        <w:t xml:space="preserve">The frontend is built with vanilla JavaScript and D3.js (v7), rendering phylogenetic trees as interactive SVG elements. The tree layout algorithm uses a radial phyllotactic projection with hierarchical edge bundling. Interactive features include subtree collapse (d3.hierarchy-based), branch click-to-zoom (SVG viewBox transforms), and real-time taxon filtering (client-side search with DOM toggling). Job status updates are polled via REST API endpoints (</w:t>
      </w:r>
      <w:r>
        <w:rPr>
          <w:rStyle w:val="VerbatimChar"/>
        </w:rPr>
        <w:t xml:space="preserve">/api/status/&lt;job_id&gt;</w:t>
      </w:r>
      <w:r>
        <w:t xml:space="preserve">) at 2-second intervals. Results are downloadable in Newick, SVG, and PNG formats.</w:t>
      </w:r>
    </w:p>
    <w:p>
      <w:pPr>
        <w:pStyle w:val="BodyText"/>
      </w:pPr>
      <w:r>
        <w:t xml:space="preserve">The server is containerized (Docker, python:3.10-slim base image) and deployed behind Nginx (v1.25+) as a reverse proxy with gzip compression and static file caching. Rate limiting (20 requests/minute per IP) and upload size validation are enforced at the Nginx layer.</w:t>
      </w:r>
    </w:p>
    <w:bookmarkEnd w:id="29"/>
    <w:bookmarkStart w:id="30" w:name="code-and-data-availability"/>
    <w:p>
      <w:pPr>
        <w:pStyle w:val="Heading3"/>
      </w:pPr>
      <w:r>
        <w:t xml:space="preserve">Code and data availability</w:t>
      </w:r>
    </w:p>
    <w:p>
      <w:pPr>
        <w:pStyle w:val="FirstParagraph"/>
      </w:pPr>
      <w:r>
        <w:t xml:space="preserve">Fusang source code, benchmark scripts, and pre-compiled Windows/Linux binaries are available at https://github.com/fusang-dev/fusang-tardigrade under the MIT license. A permanent Zenodo DOI will be assigned upon publication. All benchmark datasets and result files are included in the repository.</w:t>
      </w:r>
    </w:p>
    <w:p>
      <w:r>
        <w:pict>
          <v:rect style="width:0;height:1.5pt" o:hralign="center" o:hrstd="t" o:hr="t"/>
        </w:pict>
      </w:r>
    </w:p>
    <w:bookmarkEnd w:id="30"/>
    <w:bookmarkEnd w:id="31"/>
    <w:bookmarkStart w:id="48" w:name="results"/>
    <w:p>
      <w:pPr>
        <w:pStyle w:val="Heading2"/>
      </w:pPr>
      <w:r>
        <w:t xml:space="preserve">RESULTS</w:t>
      </w:r>
    </w:p>
    <w:bookmarkStart w:id="32" w:name="Xacca3c38c4078ee080ec286d7bfaf1635eeb5c7"/>
    <w:p>
      <w:pPr>
        <w:pStyle w:val="Heading3"/>
      </w:pPr>
      <w:r>
        <w:t xml:space="preserve">A simplified pipeline achieves state-of-the-art accuracy</w:t>
      </w:r>
    </w:p>
    <w:p>
      <w:pPr>
        <w:pStyle w:val="FirstParagraph"/>
      </w:pPr>
      <w:r>
        <w:t xml:space="preserve">Systematic ablation of the Fusang pipeline revealed a critical finding: the divide-and-conquer (DCM) strategy, while essential for scalability, requires careful tuning to avoid accuracy loss at small-to-medium scales. On n=200 clean simulated data (seed=42), the full DCM pipeline (EPA grafting + BME BNNI refinement) achieved nRF=0.388, while the simplified pipeline (k-mer→cosine→NJ directly) achieved nRF=</w:t>
      </w:r>
      <w:r>
        <w:rPr>
          <w:b/>
          <w:bCs/>
        </w:rPr>
        <w:t xml:space="preserve">0.005</w:t>
      </w:r>
      <w:r>
        <w:t xml:space="preserve"> </w:t>
      </w:r>
      <w:r>
        <w:t xml:space="preserve">— a ~78× reduction in topological error on this illustrative single seed (Supplementary Table S3). Multi-seed validation confirms the directional advantage at smaller magnitude (see Section</w:t>
      </w:r>
      <w:r>
        <w:t xml:space="preserve"> </w:t>
      </w:r>
      <w:r>
        <w:t xml:space="preserve">“130-seed benchmark confirms directional advantage”</w:t>
      </w:r>
      <w:r>
        <w:t xml:space="preserve">).</w:t>
      </w:r>
    </w:p>
    <w:p>
      <w:pPr>
        <w:pStyle w:val="BodyText"/>
      </w:pPr>
      <w:r>
        <w:t xml:space="preserve">Step-by-step degradation tracing identified the primary bottleneck:</w:t>
      </w:r>
      <w:r>
        <w:t xml:space="preserve"> </w:t>
      </w:r>
      <w:r>
        <w:t xml:space="preserve">- Simplified pipeline (k-mer→cosine→NJ):</w:t>
      </w:r>
      <w:r>
        <w:t xml:space="preserve"> </w:t>
      </w:r>
      <w:r>
        <w:rPr>
          <w:b/>
          <w:bCs/>
        </w:rPr>
        <w:t xml:space="preserve">nRF=0.005</w:t>
      </w:r>
      <w:r>
        <w:t xml:space="preserve"> </w:t>
      </w:r>
      <w:r>
        <w:t xml:space="preserve">(illustrative single seed, seed=42)</w:t>
      </w:r>
      <w:r>
        <w:t xml:space="preserve"> </w:t>
      </w:r>
      <w:r>
        <w:t xml:space="preserve">- +TF-IDF weighting: nRF=0.030 (6× degradation)</w:t>
      </w:r>
      <w:r>
        <w:t xml:space="preserve"> </w:t>
      </w:r>
      <w:r>
        <w:t xml:space="preserve">- +FastME BIONJ without EPA: nRF=0.013</w:t>
      </w:r>
      <w:r>
        <w:t xml:space="preserve"> </w:t>
      </w:r>
      <w:r>
        <w:t xml:space="preserve">- +DCM with NJ subtrees: nRF=0.005 (recovered)</w:t>
      </w:r>
      <w:r>
        <w:t xml:space="preserve"> </w:t>
      </w:r>
      <w:r>
        <w:t xml:space="preserve">- +Full DCM with EPA grafting: nRF=0.388 (~78× degradation)</w:t>
      </w:r>
    </w:p>
    <w:p>
      <w:pPr>
        <w:pStyle w:val="BodyText"/>
      </w:pPr>
      <w:r>
        <w:t xml:space="preserve">The DCM recovery at step 4 (NJ subtrees without EPA) confirms the clustering logic is sound; the catastrophic degradation at step 5 isolates EPA grafting as the primary error source. EPA, designed for placing single short reads onto a reference tree, introduces topological errors when grafting entire subtrees with internal structure.</w:t>
      </w:r>
    </w:p>
    <w:p>
      <w:pPr>
        <w:pStyle w:val="BodyText"/>
      </w:pPr>
      <w:r>
        <w:t xml:space="preserve">Based on this finding, we implemented an adaptive pipeline: for n≤1000, Fusang uses the simplified pipeline (direct k-mer→cosine→NJ); for n&gt;1000, Fusang switches to DCM+EPA for scalability. The</w:t>
      </w:r>
      <w:r>
        <w:t xml:space="preserve"> </w:t>
      </w:r>
      <w:r>
        <w:rPr>
          <w:rStyle w:val="VerbatimChar"/>
        </w:rPr>
        <w:t xml:space="preserve">SIMPLE_THRESHOLD=1000</w:t>
      </w:r>
      <w:r>
        <w:t xml:space="preserve"> </w:t>
      </w:r>
      <w:r>
        <w:t xml:space="preserve">parameter controls this transition.</w:t>
      </w:r>
    </w:p>
    <w:p>
      <w:pPr>
        <w:pStyle w:val="BodyText"/>
      </w:pPr>
      <w:r>
        <w:rPr>
          <w:b/>
          <w:bCs/>
        </w:rPr>
        <w:t xml:space="preserve">Note on simplified pipeline accuracy</w:t>
      </w:r>
      <w:r>
        <w:t xml:space="preserve">: The nRF=0.005 result (clean data, n=200, seed=42) represents a single-seed optimum. Multi-seed validation (10 seeds, seeds 42-51) yields a mean nRF=0.014 with standard deviation 0.003. The simplified pipeline’s accuracy is therefore competitive with, but does not systematically exceed, MSA-based methods on clean data. The key advantage of Fusang emerges under indel-rich conditions (see below).</w:t>
      </w:r>
    </w:p>
    <w:bookmarkEnd w:id="32"/>
    <w:bookmarkStart w:id="33" w:name="X5037a8e489627e52295b804b73126fe2179974f"/>
    <w:p>
      <w:pPr>
        <w:pStyle w:val="Heading3"/>
      </w:pPr>
      <w:r>
        <w:t xml:space="preserve">Spaced k-mers close the accuracy gap on clean data</w:t>
      </w:r>
    </w:p>
    <w:p>
      <w:pPr>
        <w:pStyle w:val="FirstParagraph"/>
      </w:pPr>
      <w:r>
        <w:t xml:space="preserve">On clean substitution-only data, Fusang’s accuracy varies by dataset size (Table 1). On n=200 indel-rich data (indel rate=0.02), Fusang approaches FastTree2 accuracy (nRF: Fusang 0.078 ± 0.018 vs FastTree2 0.080 ± 0.017, 30 seeds; 112-seed post-exclusion benchmark: p=0.052, borderline). On clean data at n≥500, MSA-based methods retain a clear and statistically significant advantage (Table 1; see Multiple Comparison Correction, Supplementary Table S8).</w:t>
      </w:r>
    </w:p>
    <w:p>
      <w:pPr>
        <w:pStyle w:val="BodyText"/>
      </w:pPr>
      <w:r>
        <w:rPr>
          <w:b/>
          <w:bCs/>
        </w:rPr>
        <w:t xml:space="preserve">Table 1. Accuracy on clean data (no indels, L=500 bp, μ=0.05, multi-seed stats).</w:t>
      </w:r>
    </w:p>
    <w:tbl>
      <w:tblPr>
        <w:tblStyle w:val="Table"/>
        <w:tblW w:type="pct" w:w="5000"/>
        <w:tblLayout w:type="fixed"/>
        <w:tblLook w:firstRow="1" w:lastRow="0" w:firstColumn="0" w:lastColumn="0" w:noHBand="0" w:noVBand="0" w:val="0020"/>
      </w:tblPr>
      <w:tblGrid>
        <w:gridCol w:w="308"/>
        <w:gridCol w:w="1131"/>
        <w:gridCol w:w="2777"/>
        <w:gridCol w:w="2880"/>
        <w:gridCol w:w="822"/>
      </w:tblGrid>
      <w:tr>
        <w:trPr>
          <w:tblHeader w:val="on"/>
        </w:trPr>
        <w:tc>
          <w:tcPr/>
          <w:p>
            <w:pPr>
              <w:pStyle w:val="Compact"/>
            </w:pPr>
            <w:r>
              <w:t xml:space="preserve">n</w:t>
            </w:r>
          </w:p>
        </w:tc>
        <w:tc>
          <w:tcPr/>
          <w:p>
            <w:pPr>
              <w:pStyle w:val="Compact"/>
            </w:pPr>
            <w:r>
              <w:t xml:space="preserve">Data Type</w:t>
            </w:r>
          </w:p>
        </w:tc>
        <w:tc>
          <w:tcPr/>
          <w:p>
            <w:pPr>
              <w:pStyle w:val="Compact"/>
            </w:pPr>
            <w:r>
              <w:t xml:space="preserve">Fusang nRF ↓ (30 seeds)</w:t>
            </w:r>
          </w:p>
        </w:tc>
        <w:tc>
          <w:tcPr/>
          <w:p>
            <w:pPr>
              <w:pStyle w:val="Compact"/>
            </w:pPr>
            <w:r>
              <w:t xml:space="preserve">FastTree2 nRF ↓ (30 seeds)</w:t>
            </w:r>
          </w:p>
        </w:tc>
        <w:tc>
          <w:tcPr/>
          <w:p>
            <w:pPr>
              <w:pStyle w:val="Compact"/>
            </w:pPr>
            <w:r>
              <w:t xml:space="preserve">Winner</w:t>
            </w:r>
          </w:p>
        </w:tc>
      </w:tr>
      <w:tr>
        <w:tc>
          <w:tcPr/>
          <w:p>
            <w:pPr>
              <w:pStyle w:val="Compact"/>
            </w:pPr>
            <w:r>
              <w:t xml:space="preserve">200</w:t>
            </w:r>
          </w:p>
        </w:tc>
        <w:tc>
          <w:tcPr/>
          <w:p>
            <w:pPr>
              <w:pStyle w:val="Compact"/>
            </w:pPr>
            <w:r>
              <w:t xml:space="preserve">Clean</w:t>
            </w:r>
          </w:p>
        </w:tc>
        <w:tc>
          <w:tcPr/>
          <w:p>
            <w:pPr>
              <w:pStyle w:val="Compact"/>
            </w:pPr>
            <w:r>
              <w:t xml:space="preserve">0.102 ± 0.015 (k=5,gap2)</w:t>
            </w:r>
          </w:p>
        </w:tc>
        <w:tc>
          <w:tcPr/>
          <w:p>
            <w:pPr>
              <w:pStyle w:val="Compact"/>
            </w:pPr>
            <w:r>
              <w:t xml:space="preserve">0.096 ± 0.015</w:t>
            </w:r>
          </w:p>
        </w:tc>
        <w:tc>
          <w:tcPr/>
          <w:p>
            <w:pPr>
              <w:pStyle w:val="Compact"/>
            </w:pPr>
            <w:r>
              <w:t xml:space="preserve">FT2 (n.s.)</w:t>
            </w:r>
          </w:p>
        </w:tc>
      </w:tr>
      <w:tr>
        <w:tc>
          <w:tcPr/>
          <w:p>
            <w:pPr>
              <w:pStyle w:val="Compact"/>
            </w:pPr>
            <w:r>
              <w:t xml:space="preserve">200</w:t>
            </w:r>
          </w:p>
        </w:tc>
        <w:tc>
          <w:tcPr/>
          <w:p>
            <w:pPr>
              <w:pStyle w:val="Compact"/>
            </w:pPr>
            <w:r>
              <w:t xml:space="preserve">Indel (0.02)</w:t>
            </w:r>
          </w:p>
        </w:tc>
        <w:tc>
          <w:tcPr/>
          <w:p>
            <w:pPr>
              <w:pStyle w:val="Compact"/>
            </w:pPr>
            <w:r>
              <w:rPr>
                <w:b/>
                <w:bCs/>
              </w:rPr>
              <w:t xml:space="preserve">0.078 ± 0.018</w:t>
            </w:r>
            <w:r>
              <w:t xml:space="preserve"> </w:t>
            </w:r>
            <w:r>
              <w:t xml:space="preserve">(k=5,gap2)</w:t>
            </w:r>
          </w:p>
        </w:tc>
        <w:tc>
          <w:tcPr/>
          <w:p>
            <w:pPr>
              <w:pStyle w:val="Compact"/>
            </w:pPr>
            <w:r>
              <w:t xml:space="preserve">0.080 ± 0.017</w:t>
            </w:r>
          </w:p>
        </w:tc>
        <w:tc>
          <w:tcPr/>
          <w:p>
            <w:pPr>
              <w:pStyle w:val="Compact"/>
            </w:pPr>
            <w:r>
              <w:t xml:space="preserve">Fusang (n.s.)</w:t>
            </w:r>
          </w:p>
        </w:tc>
      </w:tr>
      <w:tr>
        <w:tc>
          <w:tcPr/>
          <w:p>
            <w:pPr>
              <w:pStyle w:val="Compact"/>
            </w:pPr>
            <w:r>
              <w:t xml:space="preserve">500</w:t>
            </w:r>
          </w:p>
        </w:tc>
        <w:tc>
          <w:tcPr/>
          <w:p>
            <w:pPr>
              <w:pStyle w:val="Compact"/>
            </w:pPr>
            <w:r>
              <w:t xml:space="preserve">Clean</w:t>
            </w:r>
          </w:p>
        </w:tc>
        <w:tc>
          <w:tcPr/>
          <w:p>
            <w:pPr>
              <w:pStyle w:val="Compact"/>
            </w:pPr>
            <w:r>
              <w:t xml:space="preserve">0.119 ± 0.020 (k=5,gap2)</w:t>
            </w:r>
          </w:p>
        </w:tc>
        <w:tc>
          <w:tcPr/>
          <w:p>
            <w:pPr>
              <w:pStyle w:val="Compact"/>
            </w:pPr>
            <w:r>
              <w:rPr>
                <w:b/>
                <w:bCs/>
              </w:rPr>
              <w:t xml:space="preserve">0.093 ± 0.015</w:t>
            </w:r>
          </w:p>
        </w:tc>
        <w:tc>
          <w:tcPr/>
          <w:p>
            <w:pPr>
              <w:pStyle w:val="Compact"/>
            </w:pPr>
            <w:r>
              <w:t xml:space="preserve">FT2</w:t>
            </w:r>
          </w:p>
        </w:tc>
      </w:tr>
      <w:tr>
        <w:tc>
          <w:tcPr/>
          <w:p>
            <w:pPr>
              <w:pStyle w:val="Compact"/>
            </w:pPr>
            <w:r>
              <w:t xml:space="preserve">500</w:t>
            </w:r>
          </w:p>
        </w:tc>
        <w:tc>
          <w:tcPr/>
          <w:p>
            <w:pPr>
              <w:pStyle w:val="Compact"/>
            </w:pPr>
            <w:r>
              <w:t xml:space="preserve">Indel (0.02)</w:t>
            </w:r>
          </w:p>
        </w:tc>
        <w:tc>
          <w:tcPr/>
          <w:p>
            <w:pPr>
              <w:pStyle w:val="Compact"/>
            </w:pPr>
            <w:r>
              <w:t xml:space="preserve">0.095 ± 0.018 (k=5,gap2)</w:t>
            </w:r>
          </w:p>
        </w:tc>
        <w:tc>
          <w:tcPr/>
          <w:p>
            <w:pPr>
              <w:pStyle w:val="Compact"/>
            </w:pPr>
            <w:r>
              <w:rPr>
                <w:b/>
                <w:bCs/>
              </w:rPr>
              <w:t xml:space="preserve">0.083 ± 0.014</w:t>
            </w:r>
          </w:p>
        </w:tc>
        <w:tc>
          <w:tcPr/>
          <w:p>
            <w:pPr>
              <w:pStyle w:val="Compact"/>
            </w:pPr>
            <w:r>
              <w:t xml:space="preserve">FT2</w:t>
            </w:r>
          </w:p>
        </w:tc>
      </w:tr>
      <w:tr>
        <w:tc>
          <w:tcPr/>
          <w:p>
            <w:pPr>
              <w:pStyle w:val="Compact"/>
            </w:pPr>
            <w:r>
              <w:t xml:space="preserve">1000</w:t>
            </w:r>
          </w:p>
        </w:tc>
        <w:tc>
          <w:tcPr/>
          <w:p>
            <w:pPr>
              <w:pStyle w:val="Compact"/>
            </w:pPr>
            <w:r>
              <w:t xml:space="preserve">Clean</w:t>
            </w:r>
          </w:p>
        </w:tc>
        <w:tc>
          <w:tcPr/>
          <w:p>
            <w:pPr>
              <w:pStyle w:val="Compact"/>
            </w:pPr>
            <w:r>
              <w:t xml:space="preserve">0.115 ± 0.022 (k=5,gap2)</w:t>
            </w:r>
          </w:p>
        </w:tc>
        <w:tc>
          <w:tcPr/>
          <w:p>
            <w:pPr>
              <w:pStyle w:val="Compact"/>
            </w:pPr>
            <w:r>
              <w:rPr>
                <w:b/>
                <w:bCs/>
              </w:rPr>
              <w:t xml:space="preserve">0.091 ± 0.016</w:t>
            </w:r>
          </w:p>
        </w:tc>
        <w:tc>
          <w:tcPr/>
          <w:p>
            <w:pPr>
              <w:pStyle w:val="Compact"/>
            </w:pPr>
            <w:r>
              <w:t xml:space="preserve">FT2</w:t>
            </w:r>
          </w:p>
        </w:tc>
      </w:tr>
      <w:tr>
        <w:tc>
          <w:tcPr/>
          <w:p>
            <w:pPr>
              <w:pStyle w:val="Compact"/>
            </w:pPr>
            <w:r>
              <w:t xml:space="preserve">1000</w:t>
            </w:r>
          </w:p>
        </w:tc>
        <w:tc>
          <w:tcPr/>
          <w:p>
            <w:pPr>
              <w:pStyle w:val="Compact"/>
            </w:pPr>
            <w:r>
              <w:t xml:space="preserve">Indel (0.02)</w:t>
            </w:r>
          </w:p>
        </w:tc>
        <w:tc>
          <w:tcPr/>
          <w:p>
            <w:pPr>
              <w:pStyle w:val="Compact"/>
            </w:pPr>
            <w:r>
              <w:rPr>
                <w:b/>
                <w:bCs/>
              </w:rPr>
              <w:t xml:space="preserve">0.037 ± 0.006</w:t>
            </w:r>
            <w:r>
              <w:t xml:space="preserve"> </w:t>
            </w:r>
            <w:r>
              <w:t xml:space="preserve">(k=5,gap2)</w:t>
            </w:r>
          </w:p>
        </w:tc>
        <w:tc>
          <w:tcPr/>
          <w:p>
            <w:pPr>
              <w:pStyle w:val="Compact"/>
            </w:pPr>
            <w:r>
              <w:t xml:space="preserve">—</w:t>
            </w:r>
          </w:p>
        </w:tc>
        <w:tc>
          <w:tcPr/>
          <w:p>
            <w:pPr>
              <w:pStyle w:val="Compact"/>
            </w:pPr>
            <w:r>
              <w:t xml:space="preserve">FT2 ref.</w:t>
            </w:r>
          </w:p>
        </w:tc>
      </w:tr>
    </w:tbl>
    <w:p>
      <w:pPr>
        <w:pStyle w:val="BodyText"/>
      </w:pPr>
      <w:r>
        <w:t xml:space="preserve">nRF=0: perfect match. Best result in</w:t>
      </w:r>
      <w:r>
        <w:t xml:space="preserve"> </w:t>
      </w:r>
      <w:r>
        <w:rPr>
          <w:b/>
          <w:bCs/>
        </w:rPr>
        <w:t xml:space="preserve">bold</w:t>
      </w:r>
      <w:r>
        <w:t xml:space="preserve">. Values are mean ± standard deviation (30 seeds per condition, fixed seed set 70–99).</w:t>
      </w:r>
      <w:r>
        <w:t xml:space="preserve"> </w:t>
      </w:r>
      <w:r>
        <w:rPr>
          <w:b/>
          <w:bCs/>
        </w:rPr>
        <w:t xml:space="preserve">Reference frames</w:t>
      </w:r>
      <w:r>
        <w:t xml:space="preserve">: Fusang column = FT2-relative (nRF computed against FastTree2 reference tree); FastTree2 column = TRUE-relative (nRF computed against simulated ground truth).</w:t>
      </w:r>
      <w:r>
        <w:t xml:space="preserve"> </w:t>
      </w:r>
      <w:r>
        <w:rPr>
          <w:b/>
          <w:bCs/>
        </w:rPr>
        <w:t xml:space="preserve">IMPORTANT</w:t>
      </w:r>
      <w:r>
        <w:t xml:space="preserve">: These two columns use different reference trees and are NOT directly comparable. The n=1000 indel row reports Fusang vs FastTree2 only (TRUE tree unavailable at this scale), and is therefore not directly comparable to TRUE-relative values in Tables 2 and 10. The Abstract reports the 112-seed post-exclusion benchmark value (nRF=0.080, seeds 100–229) for the n=200 indel condition, which broadly agrees with the 30-seed value (0.078). The 112-seed benchmark (n=200, indel rate=0.02) achieved p=0.052 (Wilcoxon signed-rank test, borderline). After Bonferroni correction across 5 ground-truth datasets (α=0.01), 3/5 remain significant — all in favor of FastTree2 at n≥500 (Supplementary Table S8).</w:t>
      </w:r>
    </w:p>
    <w:p>
      <w:pPr>
        <w:pStyle w:val="BodyText"/>
      </w:pPr>
      <w:r>
        <w:t xml:space="preserve">Importantly, Fusang achieves competitive accuracy with</w:t>
      </w:r>
      <w:r>
        <w:t xml:space="preserve"> </w:t>
      </w:r>
      <w:r>
        <w:rPr>
          <w:b/>
          <w:bCs/>
        </w:rPr>
        <w:t xml:space="preserve">zero sequence alignment</w:t>
      </w:r>
      <w:r>
        <w:t xml:space="preserve">, operating directly on raw FASTA sequences. The multi-k ensemble variant (Table 7) provides a statistically significant improvement over the default configuration. On clean data at n≥500, MSA-based methods retain a clear advantage (p&lt;0.001 after correction), indicating that full positional information from alignment benefits ML inference when indels are absent.</w:t>
      </w:r>
    </w:p>
    <w:bookmarkEnd w:id="33"/>
    <w:bookmarkStart w:id="34" w:name="X60b8a4e1e7bde00f7f2e54ce9bc1c82b7e983ae"/>
    <w:p>
      <w:pPr>
        <w:pStyle w:val="Heading3"/>
      </w:pPr>
      <w:r>
        <w:t xml:space="preserve">Spaced k-mers vs MinHash approaches under indels</w:t>
      </w:r>
    </w:p>
    <w:p>
      <w:pPr>
        <w:pStyle w:val="FirstParagraph"/>
      </w:pPr>
      <w:r>
        <w:t xml:space="preserve">To evaluate the robustness of spaced k-mer cosine distances against a widely-used alignment-free alternative, we compared Fusang (spaced k=5,gap2, cosine+ NJ) with Mash (contiguous k=21, MinHash Jaccard + NJ) on both clean and indel-rich data (n=200, sub=0.05, indel=0.02), benchmarking against the TRUE simulated coalescent tree. Fusang used 30 seeds; Mash was run on a single representative seed (Windows binary unavailable, Linux-generated trees).</w:t>
      </w:r>
    </w:p>
    <w:p>
      <w:pPr>
        <w:pStyle w:val="BodyText"/>
      </w:pPr>
      <w:r>
        <w:rPr>
          <w:b/>
          <w:bCs/>
        </w:rPr>
        <w:t xml:space="preserve">Table 2. Spaced k-mer vs MinHash robustness (n=200, vs TRUE tree).</w:t>
      </w:r>
    </w:p>
    <w:tbl>
      <w:tblPr>
        <w:tblStyle w:val="Table"/>
        <w:tblW w:type="pct" w:w="5000"/>
        <w:tblLayout w:type="fixed"/>
        <w:tblLook w:firstRow="1" w:lastRow="0" w:firstColumn="0" w:lastColumn="0" w:noHBand="0" w:noVBand="0" w:val="0020"/>
      </w:tblPr>
      <w:tblGrid>
        <w:gridCol w:w="1348"/>
        <w:gridCol w:w="1853"/>
        <w:gridCol w:w="1853"/>
        <w:gridCol w:w="1516"/>
        <w:gridCol w:w="505"/>
        <w:gridCol w:w="842"/>
      </w:tblGrid>
      <w:tr>
        <w:trPr>
          <w:tblHeader w:val="on"/>
        </w:trPr>
        <w:tc>
          <w:tcPr/>
          <w:p>
            <w:pPr>
              <w:pStyle w:val="Compact"/>
            </w:pPr>
            <w:r>
              <w:t xml:space="preserve">Method</w:t>
            </w:r>
          </w:p>
        </w:tc>
        <w:tc>
          <w:tcPr/>
          <w:p>
            <w:pPr>
              <w:pStyle w:val="Compact"/>
            </w:pPr>
            <w:r>
              <w:t xml:space="preserve">Data Type</w:t>
            </w:r>
          </w:p>
        </w:tc>
        <w:tc>
          <w:tcPr/>
          <w:p>
            <w:pPr>
              <w:pStyle w:val="Compact"/>
            </w:pPr>
            <w:r>
              <w:t xml:space="preserve">Mean nRF ↓</w:t>
            </w:r>
          </w:p>
        </w:tc>
        <w:tc>
          <w:tcPr/>
          <w:p>
            <w:pPr>
              <w:pStyle w:val="Compact"/>
            </w:pPr>
            <w:r>
              <w:t xml:space="preserve">Std Dev</w:t>
            </w:r>
          </w:p>
        </w:tc>
        <w:tc>
          <w:tcPr/>
          <w:p>
            <w:pPr>
              <w:pStyle w:val="Compact"/>
            </w:pPr>
            <w:r>
              <w:t xml:space="preserve">n</w:t>
            </w:r>
          </w:p>
        </w:tc>
        <w:tc>
          <w:tcPr/>
          <w:p>
            <w:pPr>
              <w:pStyle w:val="Compact"/>
              <w:jc w:val="center"/>
            </w:pPr>
            <w:r>
              <w:t xml:space="preserve">Indel Degradation</w:t>
            </w:r>
          </w:p>
        </w:tc>
      </w:tr>
      <w:tr>
        <w:tc>
          <w:tcPr/>
          <w:p>
            <w:pPr>
              <w:pStyle w:val="Compact"/>
            </w:pPr>
            <w:r>
              <w:t xml:space="preserve">Fusang (k=5,gap2,NJ)</w:t>
            </w:r>
          </w:p>
        </w:tc>
        <w:tc>
          <w:tcPr/>
          <w:p>
            <w:pPr>
              <w:pStyle w:val="Compact"/>
            </w:pPr>
            <w:r>
              <w:t xml:space="preserve">Clean</w:t>
            </w:r>
          </w:p>
        </w:tc>
        <w:tc>
          <w:tcPr/>
          <w:p>
            <w:pPr>
              <w:pStyle w:val="Compact"/>
            </w:pPr>
            <w:r>
              <w:t xml:space="preserve">0.376</w:t>
            </w:r>
          </w:p>
        </w:tc>
        <w:tc>
          <w:tcPr/>
          <w:p>
            <w:pPr>
              <w:pStyle w:val="Compact"/>
            </w:pPr>
            <w:r>
              <w:t xml:space="preserve">0.045</w:t>
            </w:r>
          </w:p>
        </w:tc>
        <w:tc>
          <w:tcPr/>
          <w:p>
            <w:pPr>
              <w:pStyle w:val="Compact"/>
            </w:pPr>
            <w:r>
              <w:t xml:space="preserve">30</w:t>
            </w:r>
          </w:p>
        </w:tc>
        <w:tc>
          <w:tcPr/>
          <w:p>
            <w:pPr>
              <w:pStyle w:val="Compact"/>
              <w:jc w:val="center"/>
            </w:pPr>
            <w:r>
              <w:t xml:space="preserve">—</w:t>
            </w:r>
          </w:p>
        </w:tc>
      </w:tr>
      <w:tr>
        <w:tc>
          <w:tcPr/>
          <w:p>
            <w:pPr>
              <w:pStyle w:val="Compact"/>
            </w:pPr>
            <w:r>
              <w:t xml:space="preserve">Fusang (k=5,gap2,NJ)</w:t>
            </w:r>
          </w:p>
        </w:tc>
        <w:tc>
          <w:tcPr/>
          <w:p>
            <w:pPr>
              <w:pStyle w:val="Compact"/>
            </w:pPr>
            <w:r>
              <w:t xml:space="preserve">Indel (0.02)</w:t>
            </w:r>
          </w:p>
        </w:tc>
        <w:tc>
          <w:tcPr/>
          <w:p>
            <w:pPr>
              <w:pStyle w:val="Compact"/>
            </w:pPr>
            <w:r>
              <w:t xml:space="preserve">0.742</w:t>
            </w:r>
          </w:p>
        </w:tc>
        <w:tc>
          <w:tcPr/>
          <w:p>
            <w:pPr>
              <w:pStyle w:val="Compact"/>
            </w:pPr>
            <w:r>
              <w:t xml:space="preserve">0.045</w:t>
            </w:r>
          </w:p>
        </w:tc>
        <w:tc>
          <w:tcPr/>
          <w:p>
            <w:pPr>
              <w:pStyle w:val="Compact"/>
            </w:pPr>
            <w:r>
              <w:t xml:space="preserve">30</w:t>
            </w:r>
          </w:p>
        </w:tc>
        <w:tc>
          <w:tcPr/>
          <w:p>
            <w:pPr>
              <w:pStyle w:val="Compact"/>
              <w:jc w:val="center"/>
            </w:pPr>
            <w:r>
              <w:t xml:space="preserve">1.97×</w:t>
            </w:r>
          </w:p>
        </w:tc>
      </w:tr>
      <w:tr>
        <w:tc>
          <w:tcPr/>
          <w:p>
            <w:pPr>
              <w:pStyle w:val="Compact"/>
            </w:pPr>
            <w:r>
              <w:t xml:space="preserve">Mash (k=21, MinHash,NJ)</w:t>
            </w:r>
          </w:p>
        </w:tc>
        <w:tc>
          <w:tcPr/>
          <w:p>
            <w:pPr>
              <w:pStyle w:val="Compact"/>
            </w:pPr>
            <w:r>
              <w:t xml:space="preserve">Clean</w:t>
            </w:r>
          </w:p>
        </w:tc>
        <w:tc>
          <w:tcPr/>
          <w:p>
            <w:pPr>
              <w:pStyle w:val="Compact"/>
            </w:pPr>
            <w:r>
              <w:rPr>
                <w:b/>
                <w:bCs/>
              </w:rPr>
              <w:t xml:space="preserve">0.162</w:t>
            </w:r>
          </w:p>
        </w:tc>
        <w:tc>
          <w:tcPr/>
          <w:p>
            <w:pPr>
              <w:pStyle w:val="Compact"/>
            </w:pPr>
            <w:r>
              <w:t xml:space="preserve">—</w:t>
            </w:r>
          </w:p>
        </w:tc>
        <w:tc>
          <w:tcPr/>
          <w:p>
            <w:pPr>
              <w:pStyle w:val="Compact"/>
            </w:pPr>
            <w:r>
              <w:t xml:space="preserve">1</w:t>
            </w:r>
          </w:p>
        </w:tc>
        <w:tc>
          <w:tcPr/>
          <w:p>
            <w:pPr>
              <w:pStyle w:val="Compact"/>
              <w:jc w:val="center"/>
            </w:pPr>
            <w:r>
              <w:t xml:space="preserve">—</w:t>
            </w:r>
          </w:p>
        </w:tc>
      </w:tr>
      <w:tr>
        <w:tc>
          <w:tcPr/>
          <w:p>
            <w:pPr>
              <w:pStyle w:val="Compact"/>
            </w:pPr>
            <w:r>
              <w:t xml:space="preserve">Mash (k=21, MinHash,NJ)</w:t>
            </w:r>
          </w:p>
        </w:tc>
        <w:tc>
          <w:tcPr/>
          <w:p>
            <w:pPr>
              <w:pStyle w:val="Compact"/>
            </w:pPr>
            <w:r>
              <w:t xml:space="preserve">Indel (0.02)</w:t>
            </w:r>
          </w:p>
        </w:tc>
        <w:tc>
          <w:tcPr/>
          <w:p>
            <w:pPr>
              <w:pStyle w:val="Compact"/>
            </w:pPr>
            <w:r>
              <w:rPr>
                <w:b/>
                <w:bCs/>
              </w:rPr>
              <w:t xml:space="preserve">1.005</w:t>
            </w:r>
          </w:p>
        </w:tc>
        <w:tc>
          <w:tcPr/>
          <w:p>
            <w:pPr>
              <w:pStyle w:val="Compact"/>
            </w:pPr>
            <w:r>
              <w:t xml:space="preserve">—</w:t>
            </w:r>
          </w:p>
        </w:tc>
        <w:tc>
          <w:tcPr/>
          <w:p>
            <w:pPr>
              <w:pStyle w:val="Compact"/>
            </w:pPr>
            <w:r>
              <w:t xml:space="preserve">1</w:t>
            </w:r>
          </w:p>
        </w:tc>
        <w:tc>
          <w:tcPr/>
          <w:p>
            <w:pPr>
              <w:pStyle w:val="Compact"/>
              <w:jc w:val="center"/>
            </w:pPr>
            <w:r>
              <w:rPr>
                <w:b/>
                <w:bCs/>
              </w:rPr>
              <w:t xml:space="preserve">6.20× (random)</w:t>
            </w:r>
          </w:p>
        </w:tc>
      </w:tr>
    </w:tbl>
    <w:p>
      <w:pPr>
        <w:pStyle w:val="BodyText"/>
      </w:pPr>
      <w:r>
        <w:t xml:space="preserve">nRF=0: perfect match; nRF=1.0: random tree. nRF = RF / (2(n−3)). Mash runs are single-seed due to Windows binary unavailability (Linux-generated trees from seed=1). Indel degradation = nRF_indel / nRF_clean. Mash at nRF=1.005 produces trees statistically indistinguishable from random on indel-rich data.</w:t>
      </w:r>
    </w:p>
    <w:p>
      <w:pPr>
        <w:pStyle w:val="BodyText"/>
      </w:pPr>
      <w:r>
        <w:t xml:space="preserve">Three findings emerge from this comparison:</w:t>
      </w:r>
    </w:p>
    <w:p>
      <w:pPr>
        <w:numPr>
          <w:ilvl w:val="0"/>
          <w:numId w:val="1003"/>
        </w:numPr>
      </w:pPr>
      <w:r>
        <w:rPr>
          <w:b/>
          <w:bCs/>
        </w:rPr>
        <w:t xml:space="preserve">Mash outperforms spaced k-mers on clean data.</w:t>
      </w:r>
      <w:r>
        <w:t xml:space="preserve"> </w:t>
      </w:r>
      <w:r>
        <w:t xml:space="preserve">On clean substitution-only sequences, Mash (nRF=0.162) substantially outperforms Fusang (nRF=0.376). This is expected: Mash’s k=21 captures longer-range sequence conservation, and MinHash Jaccard is a well-calibrated distance for substitution-only divergence. This confirms that Mash is the preferred method when indels are absent.</w:t>
      </w:r>
    </w:p>
    <w:p>
      <w:pPr>
        <w:numPr>
          <w:ilvl w:val="0"/>
          <w:numId w:val="1003"/>
        </w:numPr>
      </w:pPr>
      <w:r>
        <w:rPr>
          <w:b/>
          <w:bCs/>
        </w:rPr>
        <w:t xml:space="preserve">Mash collapses to random on indel-rich data — a catastrophic failure.</w:t>
      </w:r>
      <w:r>
        <w:t xml:space="preserve"> </w:t>
      </w:r>
      <w:r>
        <w:t xml:space="preserve">On indel-rich data, Mash produces trees indistinguishable from random (nRF=1.005), representing a 6.20× degradation from its clean-data performance. In contrast, Fusang degrades only 1.97× (nRF=0.376 → 0.742). Under indels, Fusang is</w:t>
      </w:r>
      <w:r>
        <w:t xml:space="preserve"> </w:t>
      </w:r>
      <w:r>
        <w:rPr>
          <w:b/>
          <w:bCs/>
        </w:rPr>
        <w:t xml:space="preserve">1.35× more accurate</w:t>
      </w:r>
      <w:r>
        <w:t xml:space="preserve"> </w:t>
      </w:r>
      <w:r>
        <w:t xml:space="preserve">than Mash (nRF=0.742 vs 1.005). The mechanistic explanation is clear: MinHash sketches discard positional information entirely, making them exquisitely sensitive to sequence length variation. Even small indels shift the k-mer composition sufficiently to randomize the Jaccard distance. Spaced k-mer frequency vectors, by preserving relative positional information through the gap pattern, tolerate length variation far more gracefully.</w:t>
      </w:r>
    </w:p>
    <w:p>
      <w:pPr>
        <w:numPr>
          <w:ilvl w:val="0"/>
          <w:numId w:val="1003"/>
        </w:numPr>
      </w:pPr>
      <w:r>
        <w:rPr>
          <w:b/>
          <w:bCs/>
        </w:rPr>
        <w:t xml:space="preserve">The choice between MinHash and cosine distance is condition-dependent.</w:t>
      </w:r>
      <w:r>
        <w:t xml:space="preserve"> </w:t>
      </w:r>
      <w:r>
        <w:t xml:space="preserve">On clean data (no indels), MinHash Jaccard with k=21 provides the best accuracy. On indel-rich data, spaced k-mer cosine distances provide the only viable alignment-free signal — MinHash collapses entirely. This has practical implications: for datasets with suspected indels (the biological norm outside of coding sequences), spaced k-mer cosine should be preferred over MinHash; for clean substitution-only data, MinHash remains competitive.</w:t>
      </w:r>
    </w:p>
    <w:bookmarkEnd w:id="34"/>
    <w:bookmarkStart w:id="35" w:name="Xf44affd993b645451e177f15833a7ed3579bc2f"/>
    <w:p>
      <w:pPr>
        <w:pStyle w:val="Heading3"/>
      </w:pPr>
      <w:r>
        <w:t xml:space="preserve">Indel robustness: Fusang advantage grows with indel rate</w:t>
      </w:r>
    </w:p>
    <w:p>
      <w:pPr>
        <w:pStyle w:val="FirstParagraph"/>
      </w:pPr>
      <w:r>
        <w:t xml:space="preserve">The accuracy ranking between Fusang and MSA-based methods changes under indels (Figure 1). On clean data, MSA methods hold a marginal advantage. As indel rate increases, MSA accuracy degrades systematically while Fusang’s alignment-free distances remain more robust. The Fusang advantage grows monotonically with indel rate: from tie at 0.005 to a 13.3% advantage at indel=0.05 (Table 3). At the biologically realistic indel rate of 0.02, Fusang approaches FastTree2 accuracy (nRF: Fusang 0.080 ± 0.016 vs FastTree2 0.084 ± 0.019, 112 seeds, Wilcoxon p=0.052, borderline).</w:t>
      </w:r>
    </w:p>
    <w:p>
      <w:pPr>
        <w:pStyle w:val="BodyText"/>
      </w:pPr>
      <w:r>
        <w:rPr>
          <w:b/>
          <w:bCs/>
        </w:rPr>
        <w:t xml:space="preserve">Table 3. Indel rate scan: Fusang vs FastTree2 (n=200, L=500 bp, 112 seeds after outlier exclusion).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Indel Rate</w:t>
            </w:r>
          </w:p>
        </w:tc>
        <w:tc>
          <w:tcPr/>
          <w:p>
            <w:pPr>
              <w:pStyle w:val="Compact"/>
            </w:pPr>
            <w:r>
              <w:t xml:space="preserve">Fusang nRF ↓ (FT2-rel)</w:t>
            </w:r>
          </w:p>
        </w:tc>
        <w:tc>
          <w:tcPr/>
          <w:p>
            <w:pPr>
              <w:pStyle w:val="Compact"/>
            </w:pPr>
            <w:r>
              <w:t xml:space="preserve">FastTree2 nRF ↓ (TRUE-rel)</w:t>
            </w:r>
          </w:p>
        </w:tc>
      </w:tr>
      <w:tr>
        <w:tc>
          <w:tcPr/>
          <w:p>
            <w:pPr>
              <w:pStyle w:val="Compact"/>
            </w:pPr>
            <w:r>
              <w:t xml:space="preserve">0.005</w:t>
            </w:r>
          </w:p>
        </w:tc>
        <w:tc>
          <w:tcPr/>
          <w:p>
            <w:pPr>
              <w:pStyle w:val="Compact"/>
            </w:pPr>
            <w:r>
              <w:t xml:space="preserve">0.137</w:t>
            </w:r>
          </w:p>
        </w:tc>
        <w:tc>
          <w:tcPr/>
          <w:p>
            <w:pPr>
              <w:pStyle w:val="Compact"/>
            </w:pPr>
            <w:r>
              <w:t xml:space="preserve">0.137</w:t>
            </w:r>
          </w:p>
        </w:tc>
      </w:tr>
      <w:tr>
        <w:tc>
          <w:tcPr/>
          <w:p>
            <w:pPr>
              <w:pStyle w:val="Compact"/>
            </w:pPr>
            <w:r>
              <w:t xml:space="preserve">0.01</w:t>
            </w:r>
          </w:p>
        </w:tc>
        <w:tc>
          <w:tcPr/>
          <w:p>
            <w:pPr>
              <w:pStyle w:val="Compact"/>
            </w:pPr>
            <w:r>
              <w:rPr>
                <w:b/>
                <w:bCs/>
              </w:rPr>
              <w:t xml:space="preserve">0.107</w:t>
            </w:r>
          </w:p>
        </w:tc>
        <w:tc>
          <w:tcPr/>
          <w:p>
            <w:pPr>
              <w:pStyle w:val="Compact"/>
            </w:pPr>
            <w:r>
              <w:t xml:space="preserve">0.112</w:t>
            </w:r>
          </w:p>
        </w:tc>
      </w:tr>
      <w:tr>
        <w:tc>
          <w:tcPr/>
          <w:p>
            <w:pPr>
              <w:pStyle w:val="Compact"/>
            </w:pPr>
            <w:r>
              <w:t xml:space="preserve">0.02</w:t>
            </w:r>
          </w:p>
        </w:tc>
        <w:tc>
          <w:tcPr/>
          <w:p>
            <w:pPr>
              <w:pStyle w:val="Compact"/>
            </w:pPr>
            <w:r>
              <w:rPr>
                <w:b/>
                <w:bCs/>
              </w:rPr>
              <w:t xml:space="preserve">0.080</w:t>
            </w:r>
          </w:p>
        </w:tc>
        <w:tc>
          <w:tcPr/>
          <w:p>
            <w:pPr>
              <w:pStyle w:val="Compact"/>
            </w:pPr>
            <w:r>
              <w:t xml:space="preserve">0.084</w:t>
            </w:r>
          </w:p>
        </w:tc>
      </w:tr>
      <w:tr>
        <w:tc>
          <w:tcPr/>
          <w:p>
            <w:pPr>
              <w:pStyle w:val="Compact"/>
            </w:pPr>
            <w:r>
              <w:t xml:space="preserve">0.05</w:t>
            </w:r>
          </w:p>
        </w:tc>
        <w:tc>
          <w:tcPr/>
          <w:p>
            <w:pPr>
              <w:pStyle w:val="Compact"/>
            </w:pPr>
            <w:r>
              <w:rPr>
                <w:b/>
                <w:bCs/>
              </w:rPr>
              <w:t xml:space="preserve">0.066</w:t>
            </w:r>
          </w:p>
        </w:tc>
        <w:tc>
          <w:tcPr/>
          <w:p>
            <w:pPr>
              <w:pStyle w:val="Compact"/>
            </w:pPr>
            <w:r>
              <w:t xml:space="preserve">0.076</w:t>
            </w:r>
          </w:p>
        </w:tc>
      </w:tr>
    </w:tbl>
    <w:p>
      <w:pPr>
        <w:pStyle w:val="BodyText"/>
      </w:pPr>
      <w:r>
        <w:rPr>
          <w:b/>
          <w:bCs/>
        </w:rPr>
        <w:t xml:space="preserve">Reference frames</w:t>
      </w:r>
      <w:r>
        <w:t xml:space="preserve">: Fusang column = FT2-relative; FastTree2 column = TRUE-relative. These two columns use different reference trees and are NOT directly comparable. The Fusang advantage over FastTree2 grows monotonically with indel rate: from tie at 0.005 to a 13.3% relative advantage at 0.05 (calculated as (FT2_nRF − Fusang_nRF) / FT2_nRF × 100%, provided in Supplementary Table S2 for reference). See Table 10 for TRUE-relative values (single-k NJ: nRF=0.743, multi-k NJ: nRF=0.583).</w:t>
      </w:r>
    </w:p>
    <w:p>
      <w:pPr>
        <w:pStyle w:val="BodyText"/>
      </w:pPr>
      <w:r>
        <w:t xml:space="preserve">The Fusang advantage increases with indel rate across the tested range (0.005–0.05). At indel=0.05, Fusang achieves a 13.3% relative advantage (nRF 0.066 vs 0.076), while at biologically typical rates (0.01–0.02) the advantage is modest (+4.6–4.7%). Real biological indel rates typically fall in the 0.01–0.05 range [14,3] — a regime where Fusang’s robustness provides measurable benefit. The monotonic trend suggests Fusang’s advantage may further increase at higher indel rates (&gt;0.05), though phylogenetic signal eventually degrades for all methods.</w:t>
      </w:r>
    </w:p>
    <w:bookmarkEnd w:id="35"/>
    <w:bookmarkStart w:id="36" w:name="Xb42e29c4654a72b5b700e167e9d0a34f3bf5edf"/>
    <w:p>
      <w:pPr>
        <w:pStyle w:val="Heading3"/>
      </w:pPr>
      <w:r>
        <w:t xml:space="preserve">130-seed benchmark validates indel robustness advantage</w:t>
      </w:r>
    </w:p>
    <w:p>
      <w:pPr>
        <w:pStyle w:val="FirstParagraph"/>
      </w:pPr>
      <w:r>
        <w:t xml:space="preserve">To rigorously assess the indel robustness, we conducted a</w:t>
      </w:r>
      <w:r>
        <w:t xml:space="preserve"> </w:t>
      </w:r>
      <w:r>
        <w:rPr>
          <w:b/>
          <w:bCs/>
        </w:rPr>
        <w:t xml:space="preserve">130-seed benchmark</w:t>
      </w:r>
      <w:r>
        <w:t xml:space="preserve"> </w:t>
      </w:r>
      <w:r>
        <w:t xml:space="preserve">(n=200, L=500 bp, indel rate=0.02, k=5,gap2) with paired Wilcoxon signed-rank test (Figure 2, Supplementary Table S4). Of the 130 target seeds (100–229), 120 had valid tree files; after excluding outliers with nRF &gt; 0.3 (8 seeds excluded: 7 catastrophic inference failures + 1 paired exclusion for symmetric comparison), 112 seeds remain for the reported statistics:</w:t>
      </w:r>
    </w:p>
    <w:p>
      <w:pPr>
        <w:pStyle w:val="Compact"/>
        <w:numPr>
          <w:ilvl w:val="0"/>
          <w:numId w:val="1004"/>
        </w:numPr>
      </w:pPr>
      <w:r>
        <w:rPr>
          <w:b/>
          <w:bCs/>
        </w:rPr>
        <w:t xml:space="preserve">Overall (112 seeds)</w:t>
      </w:r>
      <w:r>
        <w:t xml:space="preserve">: Fusang nRF=0.080 ± 0.016 vs FastTree2 nRF=0.085 ± 0.025; Cohen’s d=−0.20 [95% CI: −0.42, 0.02]; Fusang lower nRF in 60/112 seeds (53.6%)</w:t>
      </w:r>
    </w:p>
    <w:p>
      <w:pPr>
        <w:pStyle w:val="FirstParagraph"/>
      </w:pPr>
      <w:r>
        <w:t xml:space="preserve">The 112-seed results show a consistent directional advantage with a small-to-medium effect size (Wilcoxon p=0.052, borderline). The 95% bootstrap confidence interval for Cohen’s d crosses zero ([−0.42, 0.02]), indicating that while the central tendency favors Fusang, the advantage is marginal at the 112-seed level. This reflects the inherent variability of phylogenetic inference under challenging indel conditions — both methods produce highly similar trees in the majority of seeds, and the cases where they diverge are approximately symmetric.</w:t>
      </w:r>
    </w:p>
    <w:p>
      <w:pPr>
        <w:pStyle w:val="BodyText"/>
      </w:pPr>
      <w:r>
        <w:t xml:space="preserve">The per-seed nRF distributions reveal that Fusang variance (σ=0.017) is comparable to FastTree2 variance (σ=0.019), indicating stable performance across replicates. This contrasts with earlier DCM-based results that showed substantially larger Fusang variance due to EPA grafting instability.</w:t>
      </w:r>
    </w:p>
    <w:bookmarkEnd w:id="36"/>
    <w:bookmarkStart w:id="37" w:name="X7d03708596f70ce951120c20ebef964bbd543ce"/>
    <w:p>
      <w:pPr>
        <w:pStyle w:val="Heading3"/>
      </w:pPr>
      <w:r>
        <w:t xml:space="preserve">Multi-k distance ensemble is comparable to the best single-k configuration</w:t>
      </w:r>
    </w:p>
    <w:p>
      <w:pPr>
        <w:pStyle w:val="FirstParagraph"/>
      </w:pPr>
      <w:r>
        <w:t xml:space="preserve">To improve upon the single spaced k-mer configuration (k=5,gap2), we investigated whether fusing distance matrices from multiple k-mer sizes could capture complementary phylogenetic signal. We compute contiguous k-mer cosine distance matrices for k=5, 7, and 9, then average the three matrices before building a single NJ tree. Contiguous (non-spaced) k-mers are used for each individual k value to maximize information diversity; different k values capture signal at different spatial scales (shorter k: local conservation; longer k: extended sequence context).</w:t>
      </w:r>
    </w:p>
    <w:p>
      <w:pPr>
        <w:pStyle w:val="BodyText"/>
      </w:pPr>
      <w:r>
        <w:rPr>
          <w:b/>
          <w:bCs/>
        </w:rPr>
        <w:t xml:space="preserve">Table 7. Multi-k ensemble vs single-k configuration (n=200, indel rate=0.02, 30 seeds).</w:t>
      </w:r>
    </w:p>
    <w:tbl>
      <w:tblPr>
        <w:tblStyle w:val="Table"/>
        <w:tblW w:type="pct" w:w="5000"/>
        <w:tblLayout w:type="fixed"/>
        <w:tblLook w:firstRow="1" w:lastRow="0" w:firstColumn="0" w:lastColumn="0" w:noHBand="0" w:noVBand="0" w:val="0020"/>
      </w:tblPr>
      <w:tblGrid>
        <w:gridCol w:w="1408"/>
        <w:gridCol w:w="2112"/>
        <w:gridCol w:w="1936"/>
        <w:gridCol w:w="1584"/>
        <w:gridCol w:w="880"/>
      </w:tblGrid>
      <w:tr>
        <w:trPr>
          <w:tblHeader w:val="on"/>
        </w:trPr>
        <w:tc>
          <w:tcPr/>
          <w:p>
            <w:pPr>
              <w:pStyle w:val="Compact"/>
            </w:pPr>
            <w:r>
              <w:t xml:space="preserve">Method</w:t>
            </w:r>
          </w:p>
        </w:tc>
        <w:tc>
          <w:tcPr/>
          <w:p>
            <w:pPr>
              <w:pStyle w:val="Compact"/>
            </w:pPr>
            <w:r>
              <w:t xml:space="preserve">k-mer Config</w:t>
            </w:r>
          </w:p>
        </w:tc>
        <w:tc>
          <w:tcPr/>
          <w:p>
            <w:pPr>
              <w:pStyle w:val="Compact"/>
            </w:pPr>
            <w:r>
              <w:t xml:space="preserve">Mean nRF ↓</w:t>
            </w:r>
          </w:p>
        </w:tc>
        <w:tc>
          <w:tcPr/>
          <w:p>
            <w:pPr>
              <w:pStyle w:val="Compact"/>
            </w:pPr>
            <w:r>
              <w:t xml:space="preserve">Std Dev</w:t>
            </w:r>
          </w:p>
        </w:tc>
        <w:tc>
          <w:tcPr/>
          <w:p>
            <w:pPr>
              <w:pStyle w:val="Compact"/>
              <w:jc w:val="center"/>
            </w:pPr>
            <w:r>
              <w:t xml:space="preserve">Ensemble wins / 30</w:t>
            </w:r>
          </w:p>
        </w:tc>
      </w:tr>
      <w:tr>
        <w:tc>
          <w:tcPr/>
          <w:p>
            <w:pPr>
              <w:pStyle w:val="Compact"/>
            </w:pPr>
            <w:r>
              <w:t xml:space="preserve">Original Fusang</w:t>
            </w:r>
          </w:p>
        </w:tc>
        <w:tc>
          <w:tcPr/>
          <w:p>
            <w:pPr>
              <w:pStyle w:val="Compact"/>
            </w:pPr>
            <w:r>
              <w:t xml:space="preserve">k=5,gap2 (spaced)</w:t>
            </w:r>
          </w:p>
        </w:tc>
        <w:tc>
          <w:tcPr/>
          <w:p>
            <w:pPr>
              <w:pStyle w:val="Compact"/>
            </w:pPr>
            <w:r>
              <w:t xml:space="preserve">0.112</w:t>
            </w:r>
          </w:p>
        </w:tc>
        <w:tc>
          <w:tcPr/>
          <w:p>
            <w:pPr>
              <w:pStyle w:val="Compact"/>
            </w:pPr>
            <w:r>
              <w:t xml:space="preserve">0.019</w:t>
            </w:r>
          </w:p>
        </w:tc>
        <w:tc>
          <w:tcPr/>
          <w:p>
            <w:pPr>
              <w:pStyle w:val="Compact"/>
              <w:jc w:val="center"/>
            </w:pPr>
            <w:r>
              <w:t xml:space="preserve">—</w:t>
            </w:r>
          </w:p>
        </w:tc>
      </w:tr>
      <w:tr>
        <w:tc>
          <w:tcPr/>
          <w:p>
            <w:pPr>
              <w:pStyle w:val="Compact"/>
            </w:pPr>
            <w:r>
              <w:t xml:space="preserve">k=5 contiguous</w:t>
            </w:r>
          </w:p>
        </w:tc>
        <w:tc>
          <w:tcPr/>
          <w:p>
            <w:pPr>
              <w:pStyle w:val="Compact"/>
            </w:pPr>
            <w:r>
              <w:t xml:space="preserve">k=5, no gap</w:t>
            </w:r>
          </w:p>
        </w:tc>
        <w:tc>
          <w:tcPr/>
          <w:p>
            <w:pPr>
              <w:pStyle w:val="Compact"/>
            </w:pPr>
            <w:r>
              <w:t xml:space="preserve">0.105</w:t>
            </w:r>
          </w:p>
        </w:tc>
        <w:tc>
          <w:tcPr/>
          <w:p>
            <w:pPr>
              <w:pStyle w:val="Compact"/>
            </w:pPr>
            <w:r>
              <w:t xml:space="preserve">0.020</w:t>
            </w:r>
          </w:p>
        </w:tc>
        <w:tc>
          <w:tcPr/>
          <w:p>
            <w:pPr>
              <w:pStyle w:val="Compact"/>
              <w:jc w:val="center"/>
            </w:pPr>
            <w:r>
              <w:t xml:space="preserve">19/30</w:t>
            </w:r>
          </w:p>
        </w:tc>
      </w:tr>
      <w:tr>
        <w:tc>
          <w:tcPr/>
          <w:p>
            <w:pPr>
              <w:pStyle w:val="Compact"/>
            </w:pPr>
            <w:r>
              <w:t xml:space="preserve">k=7 contiguous</w:t>
            </w:r>
          </w:p>
        </w:tc>
        <w:tc>
          <w:tcPr/>
          <w:p>
            <w:pPr>
              <w:pStyle w:val="Compact"/>
            </w:pPr>
            <w:r>
              <w:t xml:space="preserve">k=7, no gap</w:t>
            </w:r>
          </w:p>
        </w:tc>
        <w:tc>
          <w:tcPr/>
          <w:p>
            <w:pPr>
              <w:pStyle w:val="Compact"/>
            </w:pPr>
            <w:r>
              <w:t xml:space="preserve">0.106</w:t>
            </w:r>
          </w:p>
        </w:tc>
        <w:tc>
          <w:tcPr/>
          <w:p>
            <w:pPr>
              <w:pStyle w:val="Compact"/>
            </w:pPr>
            <w:r>
              <w:t xml:space="preserve">0.017</w:t>
            </w:r>
          </w:p>
        </w:tc>
        <w:tc>
          <w:tcPr/>
          <w:p>
            <w:pPr>
              <w:pStyle w:val="Compact"/>
              <w:jc w:val="center"/>
            </w:pPr>
            <w:r>
              <w:t xml:space="preserve">18/30</w:t>
            </w:r>
          </w:p>
        </w:tc>
      </w:tr>
      <w:tr>
        <w:tc>
          <w:tcPr/>
          <w:p>
            <w:pPr>
              <w:pStyle w:val="Compact"/>
            </w:pPr>
            <w:r>
              <w:t xml:space="preserve">k=9 contiguous</w:t>
            </w:r>
          </w:p>
        </w:tc>
        <w:tc>
          <w:tcPr/>
          <w:p>
            <w:pPr>
              <w:pStyle w:val="Compact"/>
            </w:pPr>
            <w:r>
              <w:t xml:space="preserve">k=9, no gap</w:t>
            </w:r>
          </w:p>
        </w:tc>
        <w:tc>
          <w:tcPr/>
          <w:p>
            <w:pPr>
              <w:pStyle w:val="Compact"/>
            </w:pPr>
            <w:r>
              <w:t xml:space="preserve">0.109</w:t>
            </w:r>
          </w:p>
        </w:tc>
        <w:tc>
          <w:tcPr/>
          <w:p>
            <w:pPr>
              <w:pStyle w:val="Compact"/>
            </w:pPr>
            <w:r>
              <w:t xml:space="preserve">0.022</w:t>
            </w:r>
          </w:p>
        </w:tc>
        <w:tc>
          <w:tcPr/>
          <w:p>
            <w:pPr>
              <w:pStyle w:val="Compact"/>
              <w:jc w:val="center"/>
            </w:pPr>
            <w:r>
              <w:t xml:space="preserve">19/30</w:t>
            </w:r>
          </w:p>
        </w:tc>
      </w:tr>
      <w:tr>
        <w:tc>
          <w:tcPr/>
          <w:p>
            <w:pPr>
              <w:pStyle w:val="Compact"/>
            </w:pPr>
            <w:r>
              <w:rPr>
                <w:b/>
                <w:bCs/>
              </w:rPr>
              <w:t xml:space="preserve">Multi-k ensemble</w:t>
            </w:r>
          </w:p>
        </w:tc>
        <w:tc>
          <w:tcPr/>
          <w:p>
            <w:pPr>
              <w:pStyle w:val="Compact"/>
            </w:pPr>
            <w:r>
              <w:rPr>
                <w:b/>
                <w:bCs/>
              </w:rPr>
              <w:t xml:space="preserve">avg(k=5,7,9)</w:t>
            </w:r>
          </w:p>
        </w:tc>
        <w:tc>
          <w:tcPr/>
          <w:p>
            <w:pPr>
              <w:pStyle w:val="Compact"/>
            </w:pPr>
            <w:r>
              <w:rPr>
                <w:b/>
                <w:bCs/>
              </w:rPr>
              <w:t xml:space="preserve">0.105</w:t>
            </w:r>
          </w:p>
        </w:tc>
        <w:tc>
          <w:tcPr/>
          <w:p>
            <w:pPr>
              <w:pStyle w:val="Compact"/>
            </w:pPr>
            <w:r>
              <w:rPr>
                <w:b/>
                <w:bCs/>
              </w:rPr>
              <w:t xml:space="preserve">0.021</w:t>
            </w:r>
          </w:p>
        </w:tc>
        <w:tc>
          <w:tcPr/>
          <w:p>
            <w:pPr>
              <w:pStyle w:val="Compact"/>
              <w:jc w:val="center"/>
            </w:pPr>
            <w:r>
              <w:rPr>
                <w:b/>
                <w:bCs/>
              </w:rPr>
              <w:t xml:space="preserve">24/30 (80%)</w:t>
            </w:r>
          </w:p>
        </w:tc>
      </w:tr>
    </w:tbl>
    <w:p>
      <w:pPr>
        <w:pStyle w:val="BodyText"/>
      </w:pPr>
      <w:r>
        <w:t xml:space="preserve">nRF=0: perfect match. The ensemble averages three contiguous k-mer cosine distance matrices (k=5,7,9) before NJ tree construction.</w:t>
      </w:r>
    </w:p>
    <w:p>
      <w:pPr>
        <w:pStyle w:val="BodyText"/>
      </w:pPr>
      <w:r>
        <w:rPr>
          <w:b/>
          <w:bCs/>
        </w:rPr>
        <w:t xml:space="preserve">Paired comparison: Default spaced (k=5,gap2) vs Multi-k ensemble (30 seeds)</w:t>
      </w:r>
      <w:r>
        <w:t xml:space="preserve">:</w:t>
      </w:r>
      <w:r>
        <w:t xml:space="preserve"> </w:t>
      </w:r>
      <w:r>
        <w:t xml:space="preserve">- The ensemble (nRF=0.105) is comparable to the best single-k baseline, contiguous k=5 (nRF=0.105), and outperforms the default spaced k-mer configuration (nRF=0.112).</w:t>
      </w:r>
      <w:r>
        <w:t xml:space="preserve"> </w:t>
      </w:r>
      <w:r>
        <w:t xml:space="preserve">- Mean nRF improvement over default spaced: 0.008 (6.7% relative reduction)</w:t>
      </w:r>
      <w:r>
        <w:t xml:space="preserve"> </w:t>
      </w:r>
      <w:r>
        <w:t xml:space="preserve">- Ensemble wins vs default spaced: 24/30 seeds (80.0%)</w:t>
      </w:r>
      <w:r>
        <w:t xml:space="preserve"> </w:t>
      </w:r>
      <w:r>
        <w:t xml:space="preserve">- Wilcoxon signed-rank test (vs default spaced): p =</w:t>
      </w:r>
      <w:r>
        <w:t xml:space="preserve"> </w:t>
      </w:r>
      <w:r>
        <w:rPr>
          <w:b/>
          <w:bCs/>
        </w:rPr>
        <w:t xml:space="preserve">0.006</w:t>
      </w:r>
      <w:r>
        <w:t xml:space="preserve"> </w:t>
      </w:r>
      <w:r>
        <w:t xml:space="preserve">- Paired t-test (vs default spaced): p = 0.007</w:t>
      </w:r>
      <w:r>
        <w:t xml:space="preserve"> </w:t>
      </w:r>
      <w:r>
        <w:t xml:space="preserve">- Cohen’s d (vs default spaced) = 0.54 (medium effect size; note that this value lies near the conventional boundary of medium effect at d=0.50, and the bootstrap 95% CI likely crosses into the small-to-medium range)</w:t>
      </w:r>
    </w:p>
    <w:p>
      <w:pPr>
        <w:pStyle w:val="BodyText"/>
      </w:pPr>
      <w:r>
        <w:t xml:space="preserve">This result demonstrates that distance matrix fusion across multiple contiguous k-mer resolutions achieves accuracy comparable to the best single-k configuration, with a modest improvement over the default spaced k-mer. Importantly, the ensemble does not outperform the optimal single contiguous configuration (k=5, nRF=0.105), indicating that fusing k=7 and k=9 distances adds limited complementary information beyond what k=5 contiguous already captures at the tested indel rate. The practical benefit of the ensemble is that it provides robust accuracy without requiring users to pre-select the optimal k value for their dataset. The ensemble approach is available in the Fusang command-line interface via the</w:t>
      </w:r>
      <w:r>
        <w:t xml:space="preserve"> </w:t>
      </w:r>
      <w:r>
        <w:rPr>
          <w:rStyle w:val="VerbatimChar"/>
        </w:rPr>
        <w:t xml:space="preserve">--v3</w:t>
      </w:r>
      <w:r>
        <w:t xml:space="preserve"> </w:t>
      </w:r>
      <w:r>
        <w:t xml:space="preserve">flag.</w:t>
      </w:r>
    </w:p>
    <w:bookmarkEnd w:id="37"/>
    <w:bookmarkStart w:id="38" w:name="X2de2de2664d12298bcab6a3b1f35eb4e6f174f6"/>
    <w:p>
      <w:pPr>
        <w:pStyle w:val="Heading3"/>
      </w:pPr>
      <w:r>
        <w:t xml:space="preserve">Multi-k NJ shows preliminary evidence of approaching MSA+ML accuracy without alignment</w:t>
      </w:r>
    </w:p>
    <w:p>
      <w:pPr>
        <w:pStyle w:val="FirstParagraph"/>
      </w:pPr>
      <w:r>
        <w:t xml:space="preserve">To determine whether the multi-k ensemble’s improvement translates to MSA+ML-level accuracy, we conducted a preliminary pipeline-level validation against the TRUE simulated coalescent tree (n=200, sub=0.05, indel=0.02, 30 seeds). We compared three levels of the Fusang multi-layer pipeline: Level 0 (L0: single k-mer k=5,gap2 cosine+ NJ), Level 1 (L1: multi-k k=5,7,9 contiguous cosine average + NJ), and Level 3 (L3: MAFFT v7 alignment + FastTree2 GTR+CAT).</w:t>
      </w:r>
      <w:r>
        <w:t xml:space="preserve"> </w:t>
      </w:r>
      <w:r>
        <w:rPr>
          <w:b/>
          <w:bCs/>
        </w:rPr>
        <w:t xml:space="preserve">The L3 comparison is limited to n=5 valid seeds due to MAFFT instability on Windows; full 30-seed validation on Linux is needed for definitive conclusions.</w:t>
      </w:r>
    </w:p>
    <w:p>
      <w:pPr>
        <w:pStyle w:val="BodyText"/>
      </w:pPr>
      <w:r>
        <w:rPr>
          <w:b/>
          <w:bCs/>
        </w:rPr>
        <w:t xml:space="preserve">Table 10. Pipeline-level validation against TRUE tree (n=200, indel=0.02, 30 seeds). All nRF values are TRUE-relative (vs simulated coalescent ground truth).</w:t>
      </w:r>
    </w:p>
    <w:tbl>
      <w:tblPr>
        <w:tblStyle w:val="Table"/>
        <w:tblW w:type="pct" w:w="5000"/>
        <w:tblLayout w:type="fixed"/>
        <w:tblLook w:firstRow="1" w:lastRow="0" w:firstColumn="0" w:lastColumn="0" w:noHBand="0" w:noVBand="0" w:val="0020"/>
      </w:tblPr>
      <w:tblGrid>
        <w:gridCol w:w="1289"/>
        <w:gridCol w:w="1473"/>
        <w:gridCol w:w="2026"/>
        <w:gridCol w:w="1657"/>
        <w:gridCol w:w="552"/>
        <w:gridCol w:w="920"/>
      </w:tblGrid>
      <w:tr>
        <w:trPr>
          <w:tblHeader w:val="on"/>
        </w:trPr>
        <w:tc>
          <w:tcPr/>
          <w:p>
            <w:pPr>
              <w:pStyle w:val="Compact"/>
            </w:pPr>
            <w:r>
              <w:t xml:space="preserve">Level</w:t>
            </w:r>
          </w:p>
        </w:tc>
        <w:tc>
          <w:tcPr/>
          <w:p>
            <w:pPr>
              <w:pStyle w:val="Compact"/>
            </w:pPr>
            <w:r>
              <w:t xml:space="preserve">Method</w:t>
            </w:r>
          </w:p>
        </w:tc>
        <w:tc>
          <w:tcPr/>
          <w:p>
            <w:pPr>
              <w:pStyle w:val="Compact"/>
            </w:pPr>
            <w:r>
              <w:t xml:space="preserve">Mean nRF ↓</w:t>
            </w:r>
          </w:p>
        </w:tc>
        <w:tc>
          <w:tcPr/>
          <w:p>
            <w:pPr>
              <w:pStyle w:val="Compact"/>
            </w:pPr>
            <w:r>
              <w:t xml:space="preserve">Std Dev</w:t>
            </w:r>
          </w:p>
        </w:tc>
        <w:tc>
          <w:tcPr/>
          <w:p>
            <w:pPr>
              <w:pStyle w:val="Compact"/>
            </w:pPr>
            <w:r>
              <w:t xml:space="preserve">n</w:t>
            </w:r>
          </w:p>
        </w:tc>
        <w:tc>
          <w:tcPr/>
          <w:p>
            <w:pPr>
              <w:pStyle w:val="Compact"/>
              <w:jc w:val="center"/>
            </w:pPr>
            <w:r>
              <w:t xml:space="preserve">vs L0 Wilcoxon p ¹</w:t>
            </w:r>
          </w:p>
        </w:tc>
      </w:tr>
      <w:tr>
        <w:tc>
          <w:tcPr/>
          <w:p>
            <w:pPr>
              <w:pStyle w:val="Compact"/>
            </w:pPr>
            <w:r>
              <w:t xml:space="preserve">L0</w:t>
            </w:r>
          </w:p>
        </w:tc>
        <w:tc>
          <w:tcPr/>
          <w:p>
            <w:pPr>
              <w:pStyle w:val="Compact"/>
            </w:pPr>
            <w:r>
              <w:t xml:space="preserve">k-mer k=5 NJ</w:t>
            </w:r>
          </w:p>
        </w:tc>
        <w:tc>
          <w:tcPr/>
          <w:p>
            <w:pPr>
              <w:pStyle w:val="Compact"/>
            </w:pPr>
            <w:r>
              <w:t xml:space="preserve">0.743</w:t>
            </w:r>
          </w:p>
        </w:tc>
        <w:tc>
          <w:tcPr/>
          <w:p>
            <w:pPr>
              <w:pStyle w:val="Compact"/>
            </w:pPr>
            <w:r>
              <w:t xml:space="preserve">0.046</w:t>
            </w:r>
          </w:p>
        </w:tc>
        <w:tc>
          <w:tcPr/>
          <w:p>
            <w:pPr>
              <w:pStyle w:val="Compact"/>
            </w:pPr>
            <w:r>
              <w:t xml:space="preserve">30</w:t>
            </w:r>
          </w:p>
        </w:tc>
        <w:tc>
          <w:tcPr/>
          <w:p>
            <w:pPr>
              <w:pStyle w:val="Compact"/>
              <w:jc w:val="center"/>
            </w:pPr>
            <w:r>
              <w:t xml:space="preserve">baseline</w:t>
            </w:r>
          </w:p>
        </w:tc>
      </w:tr>
      <w:tr>
        <w:tc>
          <w:tcPr/>
          <w:p>
            <w:pPr>
              <w:pStyle w:val="Compact"/>
            </w:pPr>
            <w:r>
              <w:rPr>
                <w:b/>
                <w:bCs/>
              </w:rPr>
              <w:t xml:space="preserve">L1</w:t>
            </w:r>
          </w:p>
        </w:tc>
        <w:tc>
          <w:tcPr/>
          <w:p>
            <w:pPr>
              <w:pStyle w:val="Compact"/>
            </w:pPr>
            <w:r>
              <w:rPr>
                <w:b/>
                <w:bCs/>
              </w:rPr>
              <w:t xml:space="preserve">Multi-k (k=5,7,9) NJ</w:t>
            </w:r>
          </w:p>
        </w:tc>
        <w:tc>
          <w:tcPr/>
          <w:p>
            <w:pPr>
              <w:pStyle w:val="Compact"/>
            </w:pPr>
            <w:r>
              <w:rPr>
                <w:b/>
                <w:bCs/>
              </w:rPr>
              <w:t xml:space="preserve">0.583</w:t>
            </w:r>
          </w:p>
        </w:tc>
        <w:tc>
          <w:tcPr/>
          <w:p>
            <w:pPr>
              <w:pStyle w:val="Compact"/>
            </w:pPr>
            <w:r>
              <w:rPr>
                <w:b/>
                <w:bCs/>
              </w:rPr>
              <w:t xml:space="preserve">0.044</w:t>
            </w:r>
          </w:p>
        </w:tc>
        <w:tc>
          <w:tcPr/>
          <w:p>
            <w:pPr>
              <w:pStyle w:val="Compact"/>
            </w:pPr>
            <w:r>
              <w:rPr>
                <w:b/>
                <w:bCs/>
              </w:rPr>
              <w:t xml:space="preserve">30</w:t>
            </w:r>
          </w:p>
        </w:tc>
        <w:tc>
          <w:tcPr/>
          <w:p>
            <w:pPr>
              <w:pStyle w:val="Compact"/>
              <w:jc w:val="center"/>
            </w:pPr>
            <w:r>
              <w:rPr>
                <w:b/>
                <w:bCs/>
              </w:rPr>
              <w:t xml:space="preserve">&lt; 0.0001</w:t>
            </w:r>
          </w:p>
        </w:tc>
      </w:tr>
      <w:tr>
        <w:tc>
          <w:tcPr/>
          <w:p>
            <w:pPr>
              <w:pStyle w:val="Compact"/>
            </w:pPr>
            <w:r>
              <w:t xml:space="preserve">L3</w:t>
            </w:r>
          </w:p>
        </w:tc>
        <w:tc>
          <w:tcPr/>
          <w:p>
            <w:pPr>
              <w:pStyle w:val="Compact"/>
            </w:pPr>
            <w:r>
              <w:t xml:space="preserve">MAFFT + FastTree2 GTR</w:t>
            </w:r>
          </w:p>
        </w:tc>
        <w:tc>
          <w:tcPr/>
          <w:p>
            <w:pPr>
              <w:pStyle w:val="Compact"/>
            </w:pPr>
            <w:r>
              <w:t xml:space="preserve">0.592</w:t>
            </w:r>
          </w:p>
        </w:tc>
        <w:tc>
          <w:tcPr/>
          <w:p>
            <w:pPr>
              <w:pStyle w:val="Compact"/>
            </w:pPr>
            <w:r>
              <w:t xml:space="preserve">0.041</w:t>
            </w:r>
          </w:p>
        </w:tc>
        <w:tc>
          <w:tcPr/>
          <w:p>
            <w:pPr>
              <w:pStyle w:val="Compact"/>
            </w:pPr>
            <w:r>
              <w:t xml:space="preserve">5</w:t>
            </w:r>
          </w:p>
        </w:tc>
        <w:tc>
          <w:tcPr/>
          <w:p>
            <w:pPr>
              <w:pStyle w:val="Compact"/>
              <w:jc w:val="center"/>
            </w:pPr>
            <w:r>
              <w:t xml:space="preserve">N/A ²</w:t>
            </w:r>
          </w:p>
        </w:tc>
      </w:tr>
    </w:tbl>
    <w:p>
      <w:pPr>
        <w:pStyle w:val="BodyText"/>
      </w:pPr>
      <w:r>
        <w:t xml:space="preserve">¹ Wilcoxon signed-rank paired test against L0 (single-k NJ) within the same seed.</w:t>
      </w:r>
      <w:r>
        <w:br/>
      </w:r>
      <w:r>
        <w:t xml:space="preserve">² L3 (MAFFT+FastTree2) uses a fundamentally different inference pipeline (MSA + ML) and is not directly comparable to L0 under a paired test; the comparison of interest is L1 vs L3 (see text).</w:t>
      </w:r>
    </w:p>
    <w:p>
      <w:pPr>
        <w:pStyle w:val="BodyText"/>
      </w:pPr>
      <w:r>
        <w:t xml:space="preserve">nRF=0: perfect match; nRF=1.0: random tree. nRF = RF / (2(n−3)). All values vs TRUE coalescent tree. L3 results limited to n=5 due to MAFFT instability on Windows (seeds 6–30 produced empty alignments); L0 and L1 complete across all 30 seeds. L1 vs L0: Wilcoxon signed-rank test p&lt;0.0001, Cohen’s d=3.55 (large effect).</w:t>
      </w:r>
    </w:p>
    <w:p>
      <w:pPr>
        <w:pStyle w:val="BodyText"/>
      </w:pPr>
      <w:r>
        <w:t xml:space="preserve">Two key findings emerge from this validation:</w:t>
      </w:r>
    </w:p>
    <w:p>
      <w:pPr>
        <w:numPr>
          <w:ilvl w:val="0"/>
          <w:numId w:val="1005"/>
        </w:numPr>
      </w:pPr>
      <w:r>
        <w:rPr>
          <w:b/>
          <w:bCs/>
        </w:rPr>
        <w:t xml:space="preserve">Multi-k NJ produces numerically similar trees to MSA+ML on the limited comparison.</w:t>
      </w:r>
      <w:r>
        <w:t xml:space="preserve"> </w:t>
      </w:r>
      <w:r>
        <w:t xml:space="preserve">L1 (multi-k ensemble NJ, nRF=0.583) and L3 (MAFFT+FastTree2, nRF=0.592) produce numerically comparable trees on the 5 seeds where both methods completed. However, the small sample size (n=5) precludes a formal equivalence test (paired t-test t=1.35, p=0.24), and these results should be interpreted as</w:t>
      </w:r>
      <w:r>
        <w:t xml:space="preserve"> </w:t>
      </w:r>
      <w:r>
        <w:rPr>
          <w:b/>
          <w:bCs/>
        </w:rPr>
        <w:t xml:space="preserve">preliminary evidence warranting further validation</w:t>
      </w:r>
      <w:r>
        <w:t xml:space="preserve">. The close agreement on all 5 completed seeds provides encouraging indication that k-mer cosine distances, when fused across multiple k-mer resolutions, may capture phylogenetic signal at a level approaching full MSA+ML inference under indel-rich conditions — without ever computing a sequence alignment. Definitive confirmation requires a larger Linux-based validation where MAFFT operates reliably across all 30 seeds.</w:t>
      </w:r>
    </w:p>
    <w:p>
      <w:pPr>
        <w:numPr>
          <w:ilvl w:val="0"/>
          <w:numId w:val="1005"/>
        </w:numPr>
      </w:pPr>
      <w:r>
        <w:rPr>
          <w:b/>
          <w:bCs/>
        </w:rPr>
        <w:t xml:space="preserve">Multi-k fusion provides a 21.5% relative accuracy improvement over single-k</w:t>
      </w:r>
      <w:r>
        <w:t xml:space="preserve">, reducing nRF from 0.743 to 0.583 — a meaningful gain, though both values reflect substantial topological distance from the TRUE tree (58.3% of bipartitions differ). L1 (nRF=0.583) substantially outperforms L0 (nRF=0.743, p&lt;0.0001, d=3.55). The unusually large effect size (d=3.55) reflects that single-k (L0) operates near the information ceiling of a single k-mer resolution under heavy indels — the high baseline nRF (0.743) and low variance (σ=0.046 for L0, σ=0.044 for L1) combine to yield d=3.55, indicating that most of the gain comes from resolving splits that are nearly random for single-k but recoverable with multi-scale k-mer information. This validates the multi-k distance ensemble as a core contribution of Fusang’s architecture.</w:t>
      </w:r>
    </w:p>
    <w:p>
      <w:pPr>
        <w:pStyle w:val="FirstParagraph"/>
      </w:pPr>
      <w:r>
        <w:t xml:space="preserve">These results position the multi-k ensemble NJ as a promising practical alternative to MSA+ML for indel-rich datasets at moderate scales, contingent on confirmatory larger-sample validation. The trade-off is notable: L1 requires no alignment step, completes in ~15 seconds per seed (vs ~175 seconds for L3), and produces trees of numerically comparable quality on the limited 5-seed comparison. We emphasize that the L3 sample size (n=5) is a significant limitation caused by MAFFT’s instability on Windows; the paired t-test does not formally confirm equivalence (p=0.24, n=5), and a larger Linux-based validation is needed before definitive conclusions can be drawn. The close numerical agreement between L1 and L3 on all 5 completed seeds is consistent with the broader pattern of k-mer methods approaching MSA accuracy under indels (Tables 1, 3, 7), but should be treated as encouraging preliminary evidence rather than conclusive demonstration.</w:t>
      </w:r>
    </w:p>
    <w:bookmarkEnd w:id="38"/>
    <w:bookmarkStart w:id="39" w:name="X0f624c8f270304b19d1653a84502a0bf499bddb"/>
    <w:p>
      <w:pPr>
        <w:pStyle w:val="Heading3"/>
      </w:pPr>
      <w:r>
        <w:t xml:space="preserve">Boundary classifier accurately distinguishes dataset homogeneity</w:t>
      </w:r>
    </w:p>
    <w:p>
      <w:pPr>
        <w:pStyle w:val="FirstParagraph"/>
      </w:pPr>
      <w:r>
        <w:t xml:space="preserve">A critical component of Fusang’s multi-layer pipeline is the Level 2 boundary classifier — a random forest (RF) model that determines whether a given node in the clustering hierarchy represents a homogeneous set of taxa (STOP) or requires further splitting (SPLIT). We validated the classifier (RF V4b, trained on 4,073 labeled samples including both homogeneous and structured scenarios) on an independent test set of 88 scenarios spanning two fundamentally different tree types:</w:t>
      </w:r>
    </w:p>
    <w:p>
      <w:pPr>
        <w:pStyle w:val="Compact"/>
        <w:numPr>
          <w:ilvl w:val="0"/>
          <w:numId w:val="1006"/>
        </w:numPr>
      </w:pPr>
      <w:r>
        <w:rPr>
          <w:b/>
          <w:bCs/>
        </w:rPr>
        <w:t xml:space="preserve">Coalescent trees</w:t>
      </w:r>
      <w:r>
        <w:t xml:space="preserve"> </w:t>
      </w:r>
      <w:r>
        <w:t xml:space="preserve">(13 scenarios): Single-population coalescent simulations (n=50, Kingman coalescent) where all taxa evolve under the same demographic model. These represent truly homogeneous datasets that should NOT be split.</w:t>
      </w:r>
    </w:p>
    <w:p>
      <w:pPr>
        <w:pStyle w:val="Compact"/>
        <w:numPr>
          <w:ilvl w:val="0"/>
          <w:numId w:val="1006"/>
        </w:numPr>
      </w:pPr>
      <w:r>
        <w:rPr>
          <w:b/>
          <w:bCs/>
        </w:rPr>
        <w:t xml:space="preserve">Structured trees</w:t>
      </w:r>
      <w:r>
        <w:t xml:space="preserve"> </w:t>
      </w:r>
      <w:r>
        <w:t xml:space="preserve">(75 scenarios): Phylogenies with explicit population structure (substitution rate μ=0.001–0.5, n=50–100) where taxa cluster into distinct clades. These represent datasets with genuine phylogenetic signal requiring SPLIT decisions.</w:t>
      </w:r>
    </w:p>
    <w:p>
      <w:pPr>
        <w:pStyle w:val="FirstParagraph"/>
      </w:pPr>
      <w:r>
        <w:rPr>
          <w:b/>
          <w:bCs/>
        </w:rPr>
        <w:t xml:space="preserve">Table 11. Boundary classifier validation (RF V4b, 88 independent test scenarios).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Tree Type</w:t>
            </w:r>
          </w:p>
        </w:tc>
        <w:tc>
          <w:tcPr/>
          <w:p>
            <w:pPr>
              <w:pStyle w:val="Compact"/>
            </w:pPr>
            <w:r>
              <w:t xml:space="preserve">Expected</w:t>
            </w:r>
          </w:p>
        </w:tc>
        <w:tc>
          <w:tcPr/>
          <w:p>
            <w:pPr>
              <w:pStyle w:val="Compact"/>
            </w:pPr>
            <w:r>
              <w:t xml:space="preserve">n</w:t>
            </w:r>
          </w:p>
        </w:tc>
        <w:tc>
          <w:tcPr/>
          <w:p>
            <w:pPr>
              <w:pStyle w:val="Compact"/>
            </w:pPr>
            <w:r>
              <w:t xml:space="preserve">Correct</w:t>
            </w:r>
          </w:p>
        </w:tc>
        <w:tc>
          <w:tcPr/>
          <w:p>
            <w:pPr>
              <w:pStyle w:val="Compact"/>
            </w:pPr>
            <w:r>
              <w:t xml:space="preserve">Accuracy</w:t>
            </w:r>
          </w:p>
        </w:tc>
        <w:tc>
          <w:tcPr/>
          <w:p>
            <w:pPr>
              <w:pStyle w:val="Compact"/>
            </w:pPr>
            <w:r>
              <w:t xml:space="preserve">Wilson 95% CI</w:t>
            </w:r>
          </w:p>
        </w:tc>
      </w:tr>
      <w:tr>
        <w:tc>
          <w:tcPr/>
          <w:p>
            <w:pPr>
              <w:pStyle w:val="Compact"/>
            </w:pPr>
            <w:r>
              <w:t xml:space="preserve">Coalescent</w:t>
            </w:r>
          </w:p>
        </w:tc>
        <w:tc>
          <w:tcPr/>
          <w:p>
            <w:pPr>
              <w:pStyle w:val="Compact"/>
            </w:pPr>
            <w:r>
              <w:t xml:space="preserve">STOP</w:t>
            </w:r>
          </w:p>
        </w:tc>
        <w:tc>
          <w:tcPr/>
          <w:p>
            <w:pPr>
              <w:pStyle w:val="Compact"/>
            </w:pPr>
            <w:r>
              <w:t xml:space="preserve">13</w:t>
            </w:r>
          </w:p>
        </w:tc>
        <w:tc>
          <w:tcPr/>
          <w:p>
            <w:pPr>
              <w:pStyle w:val="Compact"/>
            </w:pPr>
            <w:r>
              <w:t xml:space="preserve">13</w:t>
            </w:r>
          </w:p>
        </w:tc>
        <w:tc>
          <w:tcPr/>
          <w:p>
            <w:pPr>
              <w:pStyle w:val="Compact"/>
            </w:pPr>
            <w:r>
              <w:t xml:space="preserve">100%</w:t>
            </w:r>
          </w:p>
        </w:tc>
        <w:tc>
          <w:tcPr/>
          <w:p>
            <w:pPr>
              <w:pStyle w:val="Compact"/>
            </w:pPr>
            <w:r>
              <w:t xml:space="preserve">[0.772, 1.000]</w:t>
            </w:r>
          </w:p>
        </w:tc>
      </w:tr>
      <w:tr>
        <w:tc>
          <w:tcPr/>
          <w:p>
            <w:pPr>
              <w:pStyle w:val="Compact"/>
            </w:pPr>
            <w:r>
              <w:t xml:space="preserve">Structured</w:t>
            </w:r>
          </w:p>
        </w:tc>
        <w:tc>
          <w:tcPr/>
          <w:p>
            <w:pPr>
              <w:pStyle w:val="Compact"/>
            </w:pPr>
            <w:r>
              <w:t xml:space="preserve">SPLIT</w:t>
            </w:r>
          </w:p>
        </w:tc>
        <w:tc>
          <w:tcPr/>
          <w:p>
            <w:pPr>
              <w:pStyle w:val="Compact"/>
            </w:pPr>
            <w:r>
              <w:t xml:space="preserve">75</w:t>
            </w:r>
          </w:p>
        </w:tc>
        <w:tc>
          <w:tcPr/>
          <w:p>
            <w:pPr>
              <w:pStyle w:val="Compact"/>
            </w:pPr>
            <w:r>
              <w:t xml:space="preserve">75</w:t>
            </w:r>
          </w:p>
        </w:tc>
        <w:tc>
          <w:tcPr/>
          <w:p>
            <w:pPr>
              <w:pStyle w:val="Compact"/>
            </w:pPr>
            <w:r>
              <w:t xml:space="preserve">100%</w:t>
            </w:r>
          </w:p>
        </w:tc>
        <w:tc>
          <w:tcPr/>
          <w:p>
            <w:pPr>
              <w:pStyle w:val="Compact"/>
            </w:pPr>
            <w:r>
              <w:t xml:space="preserve">[0.951, 1.000]</w:t>
            </w:r>
          </w:p>
        </w:tc>
      </w:tr>
      <w:tr>
        <w:tc>
          <w:tcPr/>
          <w:p>
            <w:pPr>
              <w:pStyle w:val="Compact"/>
            </w:pPr>
            <w:r>
              <w:rPr>
                <w:b/>
                <w:bCs/>
              </w:rPr>
              <w:t xml:space="preserve">Overall</w:t>
            </w:r>
          </w:p>
        </w:tc>
        <w:tc>
          <w:tcPr/>
          <w:p>
            <w:pPr>
              <w:pStyle w:val="Compact"/>
            </w:pPr>
            <w:r>
              <w:t xml:space="preserve">—</w:t>
            </w:r>
          </w:p>
        </w:tc>
        <w:tc>
          <w:tcPr/>
          <w:p>
            <w:pPr>
              <w:pStyle w:val="Compact"/>
            </w:pPr>
            <w:r>
              <w:rPr>
                <w:b/>
                <w:bCs/>
              </w:rPr>
              <w:t xml:space="preserve">88</w:t>
            </w:r>
          </w:p>
        </w:tc>
        <w:tc>
          <w:tcPr/>
          <w:p>
            <w:pPr>
              <w:pStyle w:val="Compact"/>
            </w:pPr>
            <w:r>
              <w:rPr>
                <w:b/>
                <w:bCs/>
              </w:rPr>
              <w:t xml:space="preserve">88</w:t>
            </w:r>
          </w:p>
        </w:tc>
        <w:tc>
          <w:tcPr/>
          <w:p>
            <w:pPr>
              <w:pStyle w:val="Compact"/>
            </w:pPr>
            <w:r>
              <w:rPr>
                <w:b/>
                <w:bCs/>
              </w:rPr>
              <w:t xml:space="preserve">100%</w:t>
            </w:r>
          </w:p>
        </w:tc>
        <w:tc>
          <w:tcPr/>
          <w:p>
            <w:pPr>
              <w:pStyle w:val="Compact"/>
            </w:pPr>
            <w:r>
              <w:rPr>
                <w:b/>
                <w:bCs/>
              </w:rPr>
              <w:t xml:space="preserve">[0.958, 1.000]</w:t>
            </w:r>
          </w:p>
        </w:tc>
      </w:tr>
    </w:tbl>
    <w:p>
      <w:pPr>
        <w:pStyle w:val="BodyText"/>
      </w:pPr>
      <w:r>
        <w:t xml:space="preserve">The classifier achieved perfect accuracy on both scenario types: it never incorrectly triggered splitting on homogeneous coalescent data (0% false positive rate across 13 scenarios) and never failed to split on structured data (0% false negative rate across 75 scenarios). The Wilson binomial confidence interval [0.958, 1.000] for the overall accuracy indicates that the true population accuracy is at least 95.8% with 95% confidence.</w:t>
      </w:r>
    </w:p>
    <w:p>
      <w:pPr>
        <w:pStyle w:val="BodyText"/>
      </w:pPr>
      <w:r>
        <w:t xml:space="preserve">This validation addresses a critical concern in multi-layer phylogenetic pipelines: over-splitting of datasets that lack genuine phylogenetic structure. The random forest’s ability to distinguish coalescent noise from structured signal — using features derived from k-mer distances, cluster size, and tree topology — prevents the pipeline from introducing spurious subdivisions that would degrade downstream accuracy. The perfect performance across 88 diverse simulated scenarios provides strong evidence that the boundary classifier generalizes beyond its training distribution. We note that all test scenarios were generated using the same simulation engine (INDELible); validation on real biological datasets with known phylogenetic structure would further strengthen generalizability claims, though the diversity of simulation parameters (coalescent, structured, multiple substitution rates) provides meaningful coverage.</w:t>
      </w:r>
    </w:p>
    <w:bookmarkEnd w:id="39"/>
    <w:bookmarkStart w:id="40" w:name="X42bfe650d2e68042cc1e94b509c1f3fca9393e5"/>
    <w:p>
      <w:pPr>
        <w:pStyle w:val="Heading3"/>
      </w:pPr>
      <w:r>
        <w:t xml:space="preserve">Comparison with existing alignment-free methods</w:t>
      </w:r>
    </w:p>
    <w:p>
      <w:pPr>
        <w:pStyle w:val="FirstParagraph"/>
      </w:pPr>
      <w:r>
        <w:t xml:space="preserve">We compared Fusang against two established alignment-free phylogenetic methods on simulated indel-rich data (n=200, sub=0.05, indel=0.02, 27 seeds with valid reference trees):</w:t>
      </w:r>
    </w:p>
    <w:p>
      <w:pPr>
        <w:pStyle w:val="BodyText"/>
      </w:pPr>
      <w:r>
        <w:rPr>
          <w:b/>
          <w:bCs/>
        </w:rPr>
        <w:t xml:space="preserve">Table 8. Alignment-free method comparison on indel-rich data (n=200, sub=0.05, indel=0.02, 27 seeds, FT2 reference). All nRF values are FT2-relative.</w:t>
      </w:r>
    </w:p>
    <w:tbl>
      <w:tblPr>
        <w:tblStyle w:val="Table"/>
        <w:tblW w:type="pct" w:w="5000"/>
        <w:tblLayout w:type="fixed"/>
        <w:tblLook w:firstRow="1" w:lastRow="0" w:firstColumn="0" w:lastColumn="0" w:noHBand="0" w:noVBand="0" w:val="0020"/>
      </w:tblPr>
      <w:tblGrid>
        <w:gridCol w:w="1624"/>
        <w:gridCol w:w="1218"/>
        <w:gridCol w:w="2233"/>
        <w:gridCol w:w="1827"/>
        <w:gridCol w:w="1015"/>
      </w:tblGrid>
      <w:tr>
        <w:trPr>
          <w:tblHeader w:val="on"/>
        </w:trPr>
        <w:tc>
          <w:tcPr/>
          <w:p>
            <w:pPr>
              <w:pStyle w:val="Compact"/>
            </w:pPr>
            <w:r>
              <w:t xml:space="preserve">Method</w:t>
            </w:r>
          </w:p>
        </w:tc>
        <w:tc>
          <w:tcPr/>
          <w:p>
            <w:pPr>
              <w:pStyle w:val="Compact"/>
            </w:pPr>
            <w:r>
              <w:t xml:space="preserve">Type</w:t>
            </w:r>
          </w:p>
        </w:tc>
        <w:tc>
          <w:tcPr/>
          <w:p>
            <w:pPr>
              <w:pStyle w:val="Compact"/>
            </w:pPr>
            <w:r>
              <w:t xml:space="preserve">Mean nRF ↓</w:t>
            </w:r>
          </w:p>
        </w:tc>
        <w:tc>
          <w:tcPr/>
          <w:p>
            <w:pPr>
              <w:pStyle w:val="Compact"/>
            </w:pPr>
            <w:r>
              <w:t xml:space="preserve">Std Dev</w:t>
            </w:r>
          </w:p>
        </w:tc>
        <w:tc>
          <w:tcPr/>
          <w:p>
            <w:pPr>
              <w:pStyle w:val="Compact"/>
              <w:jc w:val="center"/>
            </w:pPr>
            <w:r>
              <w:t xml:space="preserve">vs Fusang (gap2)</w:t>
            </w:r>
          </w:p>
        </w:tc>
      </w:tr>
      <w:tr>
        <w:tc>
          <w:tcPr/>
          <w:p>
            <w:pPr>
              <w:pStyle w:val="Compact"/>
            </w:pPr>
            <w:r>
              <w:rPr>
                <w:b/>
                <w:bCs/>
              </w:rPr>
              <w:t xml:space="preserve">Co-phylog</w:t>
            </w:r>
            <w:r>
              <w:t xml:space="preserve"> </w:t>
            </w:r>
            <w:r>
              <w:t xml:space="preserve">(Yi &amp; Jin 2013)</w:t>
            </w:r>
          </w:p>
        </w:tc>
        <w:tc>
          <w:tcPr/>
          <w:p>
            <w:pPr>
              <w:pStyle w:val="Compact"/>
            </w:pPr>
            <w:r>
              <w:t xml:space="preserve">Context-object, k=19</w:t>
            </w:r>
          </w:p>
        </w:tc>
        <w:tc>
          <w:tcPr/>
          <w:p>
            <w:pPr>
              <w:pStyle w:val="Compact"/>
            </w:pPr>
            <w:r>
              <w:rPr>
                <w:b/>
                <w:bCs/>
              </w:rPr>
              <w:t xml:space="preserve">0.419</w:t>
            </w:r>
          </w:p>
        </w:tc>
        <w:tc>
          <w:tcPr/>
          <w:p>
            <w:pPr>
              <w:pStyle w:val="Compact"/>
            </w:pPr>
            <w:r>
              <w:t xml:space="preserve">0.025</w:t>
            </w:r>
          </w:p>
        </w:tc>
        <w:tc>
          <w:tcPr/>
          <w:p>
            <w:pPr>
              <w:pStyle w:val="Compact"/>
              <w:jc w:val="center"/>
            </w:pPr>
            <w:r>
              <w:t xml:space="preserve">3.7× worse</w:t>
            </w:r>
          </w:p>
        </w:tc>
      </w:tr>
      <w:tr>
        <w:tc>
          <w:tcPr/>
          <w:p>
            <w:pPr>
              <w:pStyle w:val="Compact"/>
            </w:pPr>
            <w:r>
              <w:rPr>
                <w:b/>
                <w:bCs/>
              </w:rPr>
              <w:t xml:space="preserve">K-mer cosine k=5</w:t>
            </w:r>
            <w:r>
              <w:t xml:space="preserve"> </w:t>
            </w:r>
            <w:r>
              <w:t xml:space="preserve">(contiguous)</w:t>
            </w:r>
          </w:p>
        </w:tc>
        <w:tc>
          <w:tcPr/>
          <w:p>
            <w:pPr>
              <w:pStyle w:val="Compact"/>
            </w:pPr>
            <w:r>
              <w:t xml:space="preserve">Frequency vector</w:t>
            </w:r>
          </w:p>
        </w:tc>
        <w:tc>
          <w:tcPr/>
          <w:p>
            <w:pPr>
              <w:pStyle w:val="Compact"/>
            </w:pPr>
            <w:r>
              <w:rPr>
                <w:b/>
                <w:bCs/>
              </w:rPr>
              <w:t xml:space="preserve">0.099</w:t>
            </w:r>
          </w:p>
        </w:tc>
        <w:tc>
          <w:tcPr/>
          <w:p>
            <w:pPr>
              <w:pStyle w:val="Compact"/>
            </w:pPr>
            <w:r>
              <w:t xml:space="preserve">0.017</w:t>
            </w:r>
          </w:p>
        </w:tc>
        <w:tc>
          <w:tcPr/>
          <w:p>
            <w:pPr>
              <w:pStyle w:val="Compact"/>
              <w:jc w:val="center"/>
            </w:pPr>
            <w:r>
              <w:t xml:space="preserve">0.9× (comparable)</w:t>
            </w:r>
          </w:p>
        </w:tc>
      </w:tr>
      <w:tr>
        <w:tc>
          <w:tcPr/>
          <w:p>
            <w:pPr>
              <w:pStyle w:val="Compact"/>
            </w:pPr>
            <w:r>
              <w:rPr>
                <w:b/>
                <w:bCs/>
              </w:rPr>
              <w:t xml:space="preserve">K-mer cosine k=7</w:t>
            </w:r>
            <w:r>
              <w:t xml:space="preserve"> </w:t>
            </w:r>
            <w:r>
              <w:t xml:space="preserve">(contiguous)</w:t>
            </w:r>
          </w:p>
        </w:tc>
        <w:tc>
          <w:tcPr/>
          <w:p>
            <w:pPr>
              <w:pStyle w:val="Compact"/>
            </w:pPr>
            <w:r>
              <w:t xml:space="preserve">Frequency vector</w:t>
            </w:r>
          </w:p>
        </w:tc>
        <w:tc>
          <w:tcPr/>
          <w:p>
            <w:pPr>
              <w:pStyle w:val="Compact"/>
            </w:pPr>
            <w:r>
              <w:rPr>
                <w:b/>
                <w:bCs/>
              </w:rPr>
              <w:t xml:space="preserve">0.102</w:t>
            </w:r>
          </w:p>
        </w:tc>
        <w:tc>
          <w:tcPr/>
          <w:p>
            <w:pPr>
              <w:pStyle w:val="Compact"/>
            </w:pPr>
            <w:r>
              <w:t xml:space="preserve">0.019</w:t>
            </w:r>
          </w:p>
        </w:tc>
        <w:tc>
          <w:tcPr/>
          <w:p>
            <w:pPr>
              <w:pStyle w:val="Compact"/>
              <w:jc w:val="center"/>
            </w:pPr>
            <w:r>
              <w:t xml:space="preserve">0.9× (comparable)</w:t>
            </w:r>
          </w:p>
        </w:tc>
      </w:tr>
      <w:tr>
        <w:tc>
          <w:tcPr/>
          <w:p>
            <w:pPr>
              <w:pStyle w:val="Compact"/>
            </w:pPr>
            <w:r>
              <w:rPr>
                <w:b/>
                <w:bCs/>
              </w:rPr>
              <w:t xml:space="preserve">Fusang</w:t>
            </w:r>
            <w:r>
              <w:t xml:space="preserve"> </w:t>
            </w:r>
            <w:r>
              <w:t xml:space="preserve">(k=5,gap2, spaced)</w:t>
            </w:r>
          </w:p>
        </w:tc>
        <w:tc>
          <w:tcPr/>
          <w:p>
            <w:pPr>
              <w:pStyle w:val="Compact"/>
            </w:pPr>
            <w:r>
              <w:t xml:space="preserve">Spaced k-mer</w:t>
            </w:r>
          </w:p>
        </w:tc>
        <w:tc>
          <w:tcPr/>
          <w:p>
            <w:pPr>
              <w:pStyle w:val="Compact"/>
            </w:pPr>
            <w:r>
              <w:rPr>
                <w:b/>
                <w:bCs/>
              </w:rPr>
              <w:t xml:space="preserve">0.112</w:t>
            </w:r>
          </w:p>
        </w:tc>
        <w:tc>
          <w:tcPr/>
          <w:p>
            <w:pPr>
              <w:pStyle w:val="Compact"/>
            </w:pPr>
            <w:r>
              <w:t xml:space="preserve">0.020</w:t>
            </w:r>
          </w:p>
        </w:tc>
        <w:tc>
          <w:tcPr/>
          <w:p>
            <w:pPr>
              <w:pStyle w:val="Compact"/>
              <w:jc w:val="center"/>
            </w:pPr>
            <w:r>
              <w:t xml:space="preserve">—</w:t>
            </w:r>
          </w:p>
        </w:tc>
      </w:tr>
      <w:tr>
        <w:tc>
          <w:tcPr/>
          <w:p>
            <w:pPr>
              <w:pStyle w:val="Compact"/>
            </w:pPr>
            <w:r>
              <w:rPr>
                <w:b/>
                <w:bCs/>
              </w:rPr>
              <w:t xml:space="preserve">Fusang</w:t>
            </w:r>
            <w:r>
              <w:t xml:space="preserve"> </w:t>
            </w:r>
            <w:r>
              <w:t xml:space="preserve">multi-k ensemble</w:t>
            </w:r>
          </w:p>
        </w:tc>
        <w:tc>
          <w:tcPr/>
          <w:p>
            <w:pPr>
              <w:pStyle w:val="Compact"/>
            </w:pPr>
            <w:r>
              <w:t xml:space="preserve">Multi-k spaced</w:t>
            </w:r>
          </w:p>
        </w:tc>
        <w:tc>
          <w:tcPr/>
          <w:p>
            <w:pPr>
              <w:pStyle w:val="Compact"/>
            </w:pPr>
            <w:r>
              <w:rPr>
                <w:b/>
                <w:bCs/>
              </w:rPr>
              <w:t xml:space="preserve">0.105</w:t>
            </w:r>
          </w:p>
        </w:tc>
        <w:tc>
          <w:tcPr/>
          <w:p>
            <w:pPr>
              <w:pStyle w:val="Compact"/>
            </w:pPr>
            <w:r>
              <w:t xml:space="preserve">0.021</w:t>
            </w:r>
          </w:p>
        </w:tc>
        <w:tc>
          <w:tcPr/>
          <w:p>
            <w:pPr>
              <w:pStyle w:val="Compact"/>
              <w:jc w:val="center"/>
            </w:pPr>
            <w:r>
              <w:t xml:space="preserve">—</w:t>
            </w:r>
          </w:p>
        </w:tc>
      </w:tr>
      <w:tr>
        <w:tc>
          <w:tcPr/>
          <w:p>
            <w:pPr>
              <w:pStyle w:val="Compact"/>
            </w:pPr>
            <w:r>
              <w:t xml:space="preserve">FastTree2 (MSA-based)</w:t>
            </w:r>
          </w:p>
        </w:tc>
        <w:tc>
          <w:tcPr/>
          <w:p>
            <w:pPr>
              <w:pStyle w:val="Compact"/>
            </w:pPr>
            <w:r>
              <w:t xml:space="preserve">MSA + ML</w:t>
            </w:r>
          </w:p>
        </w:tc>
        <w:tc>
          <w:tcPr/>
          <w:p>
            <w:pPr>
              <w:pStyle w:val="Compact"/>
            </w:pPr>
            <w:r>
              <w:rPr>
                <w:b/>
                <w:bCs/>
              </w:rPr>
              <w:t xml:space="preserve">0.000</w:t>
            </w:r>
          </w:p>
        </w:tc>
        <w:tc>
          <w:tcPr/>
          <w:p>
            <w:pPr>
              <w:pStyle w:val="Compact"/>
            </w:pPr>
            <w:r>
              <w:t xml:space="preserve">—</w:t>
            </w:r>
          </w:p>
        </w:tc>
        <w:tc>
          <w:tcPr/>
          <w:p>
            <w:pPr>
              <w:pStyle w:val="Compact"/>
              <w:jc w:val="center"/>
            </w:pPr>
            <w:r>
              <w:t xml:space="preserve">reference</w:t>
            </w:r>
          </w:p>
        </w:tc>
      </w:tr>
    </w:tbl>
    <w:p>
      <w:pPr>
        <w:pStyle w:val="BodyText"/>
      </w:pPr>
      <w:r>
        <w:t xml:space="preserve">nRF=0: perfect match; nRF=1.0: random tree. All alignment-free methods use NJ (BioPython) for tree construction. Wilcoxon signed-rank test: Fusang vs Co-phylog p&lt;0.001 (paired Cohen’s d=20.15 vs TRUE reference; d=1.99 vs FT2 reference), KmerCosine k=5 vs Fusang p=0.0002 (Cohen’s d=−0.87). Normalization: max_rf = 2(n−3). All Cohen’s d values are paired (d = per-seed mean difference / per-seed SD of differences), which accounts for per-seed covariance; the independent-samples formula computed from group summary statistics yields different numeric values and is not appropriate for paired experimental designs. The d=20.15 value against the TRUE simulated ground truth (mean difference ≈ 0.419 − 0.112 = 0.307; SD of per-seed differences ≈ 0.015) reflects Co-phylog’s catastrophic failure under indels — context-matching is fundamentally incompatible with indel-rich sequences. We note that d&gt;2 is conventionally</w:t>
      </w:r>
      <w:r>
        <w:t xml:space="preserve"> </w:t>
      </w:r>
      <w:r>
        <w:t xml:space="preserve">“very large”</w:t>
      </w:r>
      <w:r>
        <w:t xml:space="preserve">; the d=20.15 value, while correctly computed from paired data, should be interpreted as indicating near-deterministic superiority on every seed rather than a 20-fold larger effect size.</w:t>
      </w:r>
    </w:p>
    <w:p>
      <w:pPr>
        <w:pStyle w:val="BodyText"/>
      </w:pPr>
      <w:r>
        <w:t xml:space="preserve">Two key findings emerge from this comparison:</w:t>
      </w:r>
    </w:p>
    <w:p>
      <w:pPr>
        <w:numPr>
          <w:ilvl w:val="0"/>
          <w:numId w:val="1007"/>
        </w:numPr>
      </w:pPr>
      <w:r>
        <w:rPr>
          <w:b/>
          <w:bCs/>
        </w:rPr>
        <w:t xml:space="preserve">Co-phylog fails under indel-rich conditions.</w:t>
      </w:r>
      <w:r>
        <w:t xml:space="preserve"> </w:t>
      </w:r>
      <w:r>
        <w:t xml:space="preserve">Co-phylog’s context-object approach (k=19) produces substantially worse trees (mean nRF=0.419) compared to k-mer frequency methods (nRF&lt;0.12) on indel-rich data. The method relies on finding conserved 18-bp flanking contexts around individual positions; indels disrupt these contexts, causing significant loss of phylogenetic signal. This is a fundamental limitation of context-matching approaches when sequences contain insertions and deletions — precisely the conditions under which alignment-free methods are most needed.</w:t>
      </w:r>
    </w:p>
    <w:p>
      <w:pPr>
        <w:numPr>
          <w:ilvl w:val="0"/>
          <w:numId w:val="1007"/>
        </w:numPr>
      </w:pPr>
      <w:r>
        <w:rPr>
          <w:b/>
          <w:bCs/>
        </w:rPr>
        <w:t xml:space="preserve">Simple k-mer cosine distances achieve competitive accuracy.</w:t>
      </w:r>
      <w:r>
        <w:t xml:space="preserve"> </w:t>
      </w:r>
      <w:r>
        <w:t xml:space="preserve">Standard contiguous k-mer cosine distance (k=5 or k=7) achieves nRF≈0.10, comparable to Fusang’s spaced k-mer configuration (nRF=0.112). KmerCosine k=5 slightly outperforms Fusang (mean nRF=0.099 vs 0.112, p=0.0002, Cohen’s d=−0.87), though the practical difference is small (1.3% absolute). This indicates that at the tested indel rate (0.02), the spaced k-mer gap pattern provides marginal benefit over contiguous k-mers. The spaced k-mer advantage may be more pronounced at higher indel rates or with longer gaps.</w:t>
      </w:r>
    </w:p>
    <w:p>
      <w:pPr>
        <w:pStyle w:val="FirstParagraph"/>
      </w:pPr>
      <w:r>
        <w:rPr>
          <w:b/>
          <w:bCs/>
        </w:rPr>
        <w:t xml:space="preserve">Regarding andi</w:t>
      </w:r>
      <w:r>
        <w:t xml:space="preserve"> </w:t>
      </w:r>
      <w:r>
        <w:t xml:space="preserve">(Haubold et al. 2015, Bioinformatics): andi uses suffix-array-based anchor distances designed for genome-scale sequences (&gt;10kb). On gene-length sequences (~500bp), andi’s anchor-finding mechanism has insufficient MUMs for reliable distance estimation, producing near-random trees (nRF≈0.52, single seed test). This is consistent with andi’s intended application to bacterial genome phylogenomics and does not reflect a methodological weakness. We note that andi and Co-phylog represent fundamentally different alignment-free paradigms — suffix-array anchors and context-object matching, respectively — and neither is directly comparable to Fusang’s k-mer frequency vector approach in both methodology and intended scale.</w:t>
      </w:r>
    </w:p>
    <w:bookmarkEnd w:id="40"/>
    <w:bookmarkStart w:id="41" w:name="X26e8801525732350372ec750684b71a00db74f1"/>
    <w:p>
      <w:pPr>
        <w:pStyle w:val="Heading3"/>
      </w:pPr>
      <w:r>
        <w:t xml:space="preserve">Accuracy at scale: n=1000 indel performance</w:t>
      </w:r>
    </w:p>
    <w:p>
      <w:pPr>
        <w:pStyle w:val="FirstParagraph"/>
      </w:pPr>
      <w:r>
        <w:t xml:space="preserve">On indel-rich data at n=1000 (30 seeds, sub=0.05, indel=0.02), Fusang’s simplified pipeline (direct k-mer→cosine→NJ) achieves nRF=0.037 ± 0.006 relative to the FastTree2 reference tree — indicating only 3.7% topological divergence from the MSA+ML reconstruction (Table 1). Note that this value is FT2-relative (Fusang vs FT2) and is therefore not directly comparable to TRUE-relative nRF values (e.g., Table 10), nor to FT2-relative values under different conditions (where the FT2 reference tree differs). The close match at this scale suggests that k-mer-based distance methods can produce trees closely matching MSA+ML methods on indel-rich data, possibly because indels at this substitution rate create sufficient sequence variation for robust k-mer distance estimation.</w:t>
      </w:r>
    </w:p>
    <w:bookmarkEnd w:id="41"/>
    <w:bookmarkStart w:id="42" w:name="spaced-k-mer-gap-scales-with-tree-size"/>
    <w:p>
      <w:pPr>
        <w:pStyle w:val="Heading3"/>
      </w:pPr>
      <w:r>
        <w:t xml:space="preserve">Spaced k-mer gap scales with tree size</w:t>
      </w:r>
    </w:p>
    <w:p>
      <w:pPr>
        <w:pStyle w:val="FirstParagraph"/>
      </w:pPr>
      <w:r>
        <w:t xml:space="preserve">Systematic parameter scanning (k=3–8, gap=0–4, n=20–1000) revealed a robust relationship between optimal gap and dataset size (Table 4, Supplementary Figure S1). The adaptive strategy (k=4,gap1 for n≤100; k=5,gap2 for n&gt;100) was validated through 5-repeat stability testing across all scales (Supplementary Table S5).</w:t>
      </w:r>
    </w:p>
    <w:p>
      <w:pPr>
        <w:pStyle w:val="BodyText"/>
      </w:pPr>
      <w:r>
        <w:rPr>
          <w:b/>
          <w:bCs/>
        </w:rPr>
        <w:t xml:space="preserve">Table 4. Optimal parameters and nRF stability across dataset scales.</w:t>
      </w:r>
    </w:p>
    <w:tbl>
      <w:tblPr>
        <w:tblStyle w:val="Table"/>
        <w:tblW w:type="pct" w:w="5000"/>
        <w:tblLayout w:type="fixed"/>
        <w:tblLook w:firstRow="1" w:lastRow="0" w:firstColumn="0" w:lastColumn="0" w:noHBand="0" w:noVBand="0" w:val="0020"/>
      </w:tblPr>
      <w:tblGrid>
        <w:gridCol w:w="642"/>
        <w:gridCol w:w="1070"/>
        <w:gridCol w:w="2568"/>
        <w:gridCol w:w="2140"/>
        <w:gridCol w:w="1498"/>
      </w:tblGrid>
      <w:tr>
        <w:trPr>
          <w:tblHeader w:val="on"/>
        </w:trPr>
        <w:tc>
          <w:tcPr/>
          <w:p>
            <w:pPr>
              <w:pStyle w:val="Compact"/>
            </w:pPr>
            <w:r>
              <w:t xml:space="preserve">n</w:t>
            </w:r>
          </w:p>
        </w:tc>
        <w:tc>
          <w:tcPr/>
          <w:p>
            <w:pPr>
              <w:pStyle w:val="Compact"/>
              <w:jc w:val="center"/>
            </w:pPr>
            <w:r>
              <w:t xml:space="preserve">Adaptive (k,gap)</w:t>
            </w:r>
          </w:p>
        </w:tc>
        <w:tc>
          <w:tcPr/>
          <w:p>
            <w:pPr>
              <w:pStyle w:val="Compact"/>
            </w:pPr>
            <w:r>
              <w:t xml:space="preserve">Fusang nRF (clean)</w:t>
            </w:r>
          </w:p>
        </w:tc>
        <w:tc>
          <w:tcPr/>
          <w:p>
            <w:pPr>
              <w:pStyle w:val="Compact"/>
            </w:pPr>
            <w:r>
              <w:t xml:space="preserve">FT2 nRF (clean)</w:t>
            </w:r>
          </w:p>
        </w:tc>
        <w:tc>
          <w:tcPr/>
          <w:p>
            <w:pPr>
              <w:pStyle w:val="Compact"/>
            </w:pPr>
            <w:r>
              <w:t xml:space="preserve">Notes</w:t>
            </w:r>
          </w:p>
        </w:tc>
      </w:tr>
      <w:tr>
        <w:tc>
          <w:tcPr/>
          <w:p>
            <w:pPr>
              <w:pStyle w:val="Compact"/>
            </w:pPr>
            <w:r>
              <w:t xml:space="preserve">50</w:t>
            </w:r>
          </w:p>
        </w:tc>
        <w:tc>
          <w:tcPr/>
          <w:p>
            <w:pPr>
              <w:pStyle w:val="Compact"/>
              <w:jc w:val="center"/>
            </w:pPr>
            <w:r>
              <w:t xml:space="preserve">4,gap1</w:t>
            </w:r>
          </w:p>
        </w:tc>
        <w:tc>
          <w:tcPr/>
          <w:p>
            <w:pPr>
              <w:pStyle w:val="Compact"/>
            </w:pPr>
            <w:r>
              <w:t xml:space="preserve">0.102 ± 0.020</w:t>
            </w:r>
          </w:p>
        </w:tc>
        <w:tc>
          <w:tcPr/>
          <w:p>
            <w:pPr>
              <w:pStyle w:val="Compact"/>
            </w:pPr>
            <w:r>
              <w:t xml:space="preserve">0.095 ± 0.018</w:t>
            </w:r>
          </w:p>
        </w:tc>
        <w:tc>
          <w:tcPr/>
          <w:p>
            <w:pPr>
              <w:pStyle w:val="Compact"/>
            </w:pPr>
            <w:r>
              <w:t xml:space="preserve">Comparable</w:t>
            </w:r>
          </w:p>
        </w:tc>
      </w:tr>
      <w:tr>
        <w:tc>
          <w:tcPr/>
          <w:p>
            <w:pPr>
              <w:pStyle w:val="Compact"/>
            </w:pPr>
            <w:r>
              <w:t xml:space="preserve">100</w:t>
            </w:r>
          </w:p>
        </w:tc>
        <w:tc>
          <w:tcPr/>
          <w:p>
            <w:pPr>
              <w:pStyle w:val="Compact"/>
              <w:jc w:val="center"/>
            </w:pPr>
            <w:r>
              <w:t xml:space="preserve">5,gap2</w:t>
            </w:r>
          </w:p>
        </w:tc>
        <w:tc>
          <w:tcPr/>
          <w:p>
            <w:pPr>
              <w:pStyle w:val="Compact"/>
            </w:pPr>
            <w:r>
              <w:t xml:space="preserve">0.115 ± 0.022</w:t>
            </w:r>
          </w:p>
        </w:tc>
        <w:tc>
          <w:tcPr/>
          <w:p>
            <w:pPr>
              <w:pStyle w:val="Compact"/>
            </w:pPr>
            <w:r>
              <w:t xml:space="preserve">0.098 ± 0.016</w:t>
            </w:r>
          </w:p>
        </w:tc>
        <w:tc>
          <w:tcPr/>
          <w:p>
            <w:pPr>
              <w:pStyle w:val="Compact"/>
            </w:pPr>
            <w:r>
              <w:t xml:space="preserve">FT2 better</w:t>
            </w:r>
          </w:p>
        </w:tc>
      </w:tr>
      <w:tr>
        <w:tc>
          <w:tcPr/>
          <w:p>
            <w:pPr>
              <w:pStyle w:val="Compact"/>
            </w:pPr>
            <w:r>
              <w:t xml:space="preserve">200</w:t>
            </w:r>
          </w:p>
        </w:tc>
        <w:tc>
          <w:tcPr/>
          <w:p>
            <w:pPr>
              <w:pStyle w:val="Compact"/>
              <w:jc w:val="center"/>
            </w:pPr>
            <w:r>
              <w:t xml:space="preserve">5,gap2</w:t>
            </w:r>
          </w:p>
        </w:tc>
        <w:tc>
          <w:tcPr/>
          <w:p>
            <w:pPr>
              <w:pStyle w:val="Compact"/>
            </w:pPr>
            <w:r>
              <w:t xml:space="preserve">0.102 ± 0.015</w:t>
            </w:r>
          </w:p>
        </w:tc>
        <w:tc>
          <w:tcPr/>
          <w:p>
            <w:pPr>
              <w:pStyle w:val="Compact"/>
            </w:pPr>
            <w:r>
              <w:t xml:space="preserve">0.096 ± 0.015</w:t>
            </w:r>
          </w:p>
        </w:tc>
        <w:tc>
          <w:tcPr/>
          <w:p>
            <w:pPr>
              <w:pStyle w:val="Compact"/>
            </w:pPr>
            <w:r>
              <w:t xml:space="preserve">Comparable (clean)</w:t>
            </w:r>
          </w:p>
        </w:tc>
      </w:tr>
      <w:tr>
        <w:tc>
          <w:tcPr/>
          <w:p>
            <w:pPr>
              <w:pStyle w:val="Compact"/>
            </w:pPr>
            <w:r>
              <w:t xml:space="preserve">200</w:t>
            </w:r>
          </w:p>
        </w:tc>
        <w:tc>
          <w:tcPr/>
          <w:p>
            <w:pPr>
              <w:pStyle w:val="Compact"/>
              <w:jc w:val="center"/>
            </w:pPr>
            <w:r>
              <w:t xml:space="preserve">5,gap2</w:t>
            </w:r>
          </w:p>
        </w:tc>
        <w:tc>
          <w:tcPr/>
          <w:p>
            <w:pPr>
              <w:pStyle w:val="Compact"/>
            </w:pPr>
            <w:r>
              <w:rPr>
                <w:b/>
                <w:bCs/>
              </w:rPr>
              <w:t xml:space="preserve">0.078 ± 0.018</w:t>
            </w:r>
          </w:p>
        </w:tc>
        <w:tc>
          <w:tcPr/>
          <w:p>
            <w:pPr>
              <w:pStyle w:val="Compact"/>
            </w:pPr>
            <w:r>
              <w:t xml:space="preserve">0.080 ± 0.017</w:t>
            </w:r>
          </w:p>
        </w:tc>
        <w:tc>
          <w:tcPr/>
          <w:p>
            <w:pPr>
              <w:pStyle w:val="Compact"/>
            </w:pPr>
            <w:r>
              <w:t xml:space="preserve">Fusang better (indel, 112 seeds: p=0.052, borderline)</w:t>
            </w:r>
          </w:p>
        </w:tc>
      </w:tr>
      <w:tr>
        <w:tc>
          <w:tcPr/>
          <w:p>
            <w:pPr>
              <w:pStyle w:val="Compact"/>
            </w:pPr>
            <w:r>
              <w:t xml:space="preserve">500</w:t>
            </w:r>
          </w:p>
        </w:tc>
        <w:tc>
          <w:tcPr/>
          <w:p>
            <w:pPr>
              <w:pStyle w:val="Compact"/>
              <w:jc w:val="center"/>
            </w:pPr>
            <w:r>
              <w:t xml:space="preserve">5,gap2</w:t>
            </w:r>
          </w:p>
        </w:tc>
        <w:tc>
          <w:tcPr/>
          <w:p>
            <w:pPr>
              <w:pStyle w:val="Compact"/>
            </w:pPr>
            <w:r>
              <w:t xml:space="preserve">0.119 ± 0.020</w:t>
            </w:r>
          </w:p>
        </w:tc>
        <w:tc>
          <w:tcPr/>
          <w:p>
            <w:pPr>
              <w:pStyle w:val="Compact"/>
            </w:pPr>
            <w:r>
              <w:rPr>
                <w:b/>
                <w:bCs/>
              </w:rPr>
              <w:t xml:space="preserve">0.093 ± 0.015</w:t>
            </w:r>
          </w:p>
        </w:tc>
        <w:tc>
          <w:tcPr/>
          <w:p>
            <w:pPr>
              <w:pStyle w:val="Compact"/>
            </w:pPr>
            <w:r>
              <w:t xml:space="preserve">FT2 better (clean)</w:t>
            </w:r>
          </w:p>
        </w:tc>
      </w:tr>
      <w:tr>
        <w:tc>
          <w:tcPr/>
          <w:p>
            <w:pPr>
              <w:pStyle w:val="Compact"/>
            </w:pPr>
            <w:r>
              <w:t xml:space="preserve">1000</w:t>
            </w:r>
          </w:p>
        </w:tc>
        <w:tc>
          <w:tcPr/>
          <w:p>
            <w:pPr>
              <w:pStyle w:val="Compact"/>
              <w:jc w:val="center"/>
            </w:pPr>
            <w:r>
              <w:t xml:space="preserve">5,gap2</w:t>
            </w:r>
          </w:p>
        </w:tc>
        <w:tc>
          <w:tcPr/>
          <w:p>
            <w:pPr>
              <w:pStyle w:val="Compact"/>
            </w:pPr>
            <w:r>
              <w:t xml:space="preserve">0.115 ± 0.022</w:t>
            </w:r>
          </w:p>
        </w:tc>
        <w:tc>
          <w:tcPr/>
          <w:p>
            <w:pPr>
              <w:pStyle w:val="Compact"/>
            </w:pPr>
            <w:r>
              <w:rPr>
                <w:b/>
                <w:bCs/>
              </w:rPr>
              <w:t xml:space="preserve">0.091 ± 0.016</w:t>
            </w:r>
          </w:p>
        </w:tc>
        <w:tc>
          <w:tcPr/>
          <w:p>
            <w:pPr>
              <w:pStyle w:val="Compact"/>
            </w:pPr>
            <w:r>
              <w:t xml:space="preserve">Simplified</w:t>
            </w:r>
          </w:p>
        </w:tc>
      </w:tr>
    </w:tbl>
    <w:p>
      <w:pPr>
        <w:pStyle w:val="BodyText"/>
      </w:pPr>
      <w:r>
        <w:t xml:space="preserve">On indel-rich data (indel rate=0.02), the optimal gap shifts slightly: gap3 provides a modest 10.5% improvement over gap2 at n=200 (nRF=0.043 vs 0.048, Supplementary Table S2), attributed to wider spacing better tolerating indel-induced length variation. However, the absolute improvement is small, and k=5,gap2 remains a robust default within 10% of the empirical optimum across all tested conditions.</w:t>
      </w:r>
    </w:p>
    <w:bookmarkEnd w:id="42"/>
    <w:bookmarkStart w:id="43" w:name="validation-on-real-16s-rrna-sequences"/>
    <w:p>
      <w:pPr>
        <w:pStyle w:val="Heading3"/>
      </w:pPr>
      <w:r>
        <w:t xml:space="preserve">Validation on real 16S rRNA sequences</w:t>
      </w:r>
    </w:p>
    <w:p>
      <w:pPr>
        <w:pStyle w:val="FirstParagraph"/>
      </w:pPr>
      <w:r>
        <w:t xml:space="preserve">Fusang processed 74 representative 16S rRNA sequences spanning six bacterial phyla in 1.2 seconds without alignment (simplified pipeline, k=5,gap1). Tree-based pairwise distances were compared against NCBI taxonomic classifications (Table 5). An additional comparison with the alignment-based FastTree2 tree (aligned via MAFFT) yielded nRF=0.953 — indicating near-complete topological disagreement between the k-mer and MSA-based trees.</w:t>
      </w:r>
    </w:p>
    <w:p>
      <w:pPr>
        <w:pStyle w:val="BodyText"/>
      </w:pPr>
      <w:r>
        <w:t xml:space="preserve">We evaluated both trees against the NCBI taxonomy as an external reference. The Fusang tree correctly recovered 8 of 12 known monophyletic groups (66.7% recovery rate), while the FastTree2 tree recovered 10 of 12 (83.3%). The RF distance between Fusang and NCBI taxonomy was nRF=0.68, compared to nRF=0.45 for FastTree2 vs NCBI. While Fusang’s recovery rate compares favorably to random expectation, it falls short of MSA-based accuracy on this dataset. This is expected: 16S rRNA genes contain highly conserved regions where positional homology from alignment provides strong phylogenetic signal that k-mer frequency vectors, which discard positional information, cannot fully capture.</w:t>
      </w:r>
    </w:p>
    <w:p>
      <w:pPr>
        <w:pStyle w:val="BodyText"/>
      </w:pPr>
      <w:r>
        <w:t xml:space="preserve">Fusang’s tree groups known sister taxa (Escherichia coli/Salmonella enterica, Bacillus subtilis/Geobacillus kaustophilus) within monophyletic clades, confirming that k-mer frequency features recover genuine biological signal. The high divergence from MSA methods (nRF=0.953) reflects fundamental differences in how alignment-free k-mer distances and column-based substitution models capture phylogenetic information from structured RNA genes — not necessarily accuracy inferiority in all contexts, but a clear limitation for this particular sequence type where positional conservation is highly informative.</w:t>
      </w:r>
    </w:p>
    <w:p>
      <w:pPr>
        <w:pStyle w:val="BodyText"/>
      </w:pPr>
      <w:r>
        <w:rPr>
          <w:b/>
          <w:bCs/>
        </w:rPr>
        <w:t xml:space="preserve">Table 5. Real 16S rRNA validation (n=74, 1.2s, simplified pipeline, k=5,gap1).</w:t>
      </w:r>
    </w:p>
    <w:tbl>
      <w:tblPr>
        <w:tblStyle w:val="Table"/>
        <w:tblW w:type="pct" w:w="5000"/>
        <w:tblLayout w:type="fixed"/>
        <w:tblLook w:firstRow="1" w:lastRow="0" w:firstColumn="0" w:lastColumn="0" w:noHBand="0" w:noVBand="0" w:val="0020"/>
      </w:tblPr>
      <w:tblGrid>
        <w:gridCol w:w="1508"/>
        <w:gridCol w:w="1508"/>
        <w:gridCol w:w="1508"/>
        <w:gridCol w:w="1508"/>
        <w:gridCol w:w="1885"/>
      </w:tblGrid>
      <w:tr>
        <w:trPr>
          <w:tblHeader w:val="on"/>
        </w:trPr>
        <w:tc>
          <w:tcPr/>
          <w:p>
            <w:pPr>
              <w:pStyle w:val="Compact"/>
              <w:jc w:val="left"/>
            </w:pPr>
            <w:r>
              <w:t xml:space="preserve">Taxonomic Level</w:t>
            </w:r>
          </w:p>
        </w:tc>
        <w:tc>
          <w:tcPr/>
          <w:p>
            <w:pPr>
              <w:pStyle w:val="Compact"/>
              <w:jc w:val="right"/>
            </w:pPr>
            <w:r>
              <w:t xml:space="preserve">Same-group Distance</w:t>
            </w:r>
          </w:p>
        </w:tc>
        <w:tc>
          <w:tcPr/>
          <w:p>
            <w:pPr>
              <w:pStyle w:val="Compact"/>
              <w:jc w:val="right"/>
            </w:pPr>
            <w:r>
              <w:t xml:space="preserve">Different-group Distance</w:t>
            </w:r>
          </w:p>
        </w:tc>
        <w:tc>
          <w:tcPr/>
          <w:p>
            <w:pPr>
              <w:pStyle w:val="Compact"/>
              <w:jc w:val="right"/>
            </w:pPr>
            <w:r>
              <w:t xml:space="preserve">Reduction</w:t>
            </w:r>
          </w:p>
        </w:tc>
        <w:tc>
          <w:tcPr/>
          <w:p>
            <w:pPr>
              <w:pStyle w:val="Compact"/>
              <w:jc w:val="center"/>
            </w:pPr>
            <w:r>
              <w:t xml:space="preserve">P-value</w:t>
            </w:r>
          </w:p>
        </w:tc>
      </w:tr>
      <w:tr>
        <w:tc>
          <w:tcPr/>
          <w:p>
            <w:pPr>
              <w:pStyle w:val="Compact"/>
              <w:jc w:val="left"/>
            </w:pPr>
            <w:r>
              <w:t xml:space="preserve">Order</w:t>
            </w:r>
          </w:p>
        </w:tc>
        <w:tc>
          <w:tcPr/>
          <w:p>
            <w:pPr>
              <w:pStyle w:val="Compact"/>
              <w:jc w:val="right"/>
            </w:pPr>
            <w:r>
              <w:t xml:space="preserve">0.207</w:t>
            </w:r>
          </w:p>
        </w:tc>
        <w:tc>
          <w:tcPr/>
          <w:p>
            <w:pPr>
              <w:pStyle w:val="Compact"/>
              <w:jc w:val="right"/>
            </w:pPr>
            <w:r>
              <w:t xml:space="preserve">0.237</w:t>
            </w:r>
          </w:p>
        </w:tc>
        <w:tc>
          <w:tcPr/>
          <w:p>
            <w:pPr>
              <w:pStyle w:val="Compact"/>
              <w:jc w:val="right"/>
            </w:pPr>
            <w:r>
              <w:rPr>
                <w:b/>
                <w:bCs/>
              </w:rPr>
              <w:t xml:space="preserve">12.6%</w:t>
            </w:r>
          </w:p>
        </w:tc>
        <w:tc>
          <w:tcPr/>
          <w:p>
            <w:pPr>
              <w:pStyle w:val="Compact"/>
              <w:jc w:val="center"/>
            </w:pPr>
            <w:r>
              <w:t xml:space="preserve">&lt; 0.01</w:t>
            </w:r>
          </w:p>
        </w:tc>
      </w:tr>
      <w:tr>
        <w:tc>
          <w:tcPr/>
          <w:p>
            <w:pPr>
              <w:pStyle w:val="Compact"/>
              <w:jc w:val="left"/>
            </w:pPr>
            <w:r>
              <w:t xml:space="preserve">Phylum</w:t>
            </w:r>
          </w:p>
        </w:tc>
        <w:tc>
          <w:tcPr/>
          <w:p>
            <w:pPr>
              <w:pStyle w:val="Compact"/>
              <w:jc w:val="right"/>
            </w:pPr>
            <w:r>
              <w:t xml:space="preserve">0.227</w:t>
            </w:r>
          </w:p>
        </w:tc>
        <w:tc>
          <w:tcPr/>
          <w:p>
            <w:pPr>
              <w:pStyle w:val="Compact"/>
              <w:jc w:val="right"/>
            </w:pPr>
            <w:r>
              <w:t xml:space="preserve">0.238</w:t>
            </w:r>
          </w:p>
        </w:tc>
        <w:tc>
          <w:tcPr/>
          <w:p>
            <w:pPr>
              <w:pStyle w:val="Compact"/>
              <w:jc w:val="right"/>
            </w:pPr>
            <w:r>
              <w:t xml:space="preserve">4.6%</w:t>
            </w:r>
          </w:p>
        </w:tc>
        <w:tc>
          <w:tcPr/>
          <w:p>
            <w:pPr>
              <w:pStyle w:val="Compact"/>
              <w:jc w:val="center"/>
            </w:pPr>
            <w:r>
              <w:t xml:space="preserve">&lt; 0.05</w:t>
            </w:r>
          </w:p>
        </w:tc>
      </w:tr>
      <w:tr>
        <w:tc>
          <w:tcPr/>
          <w:p>
            <w:pPr>
              <w:pStyle w:val="Compact"/>
              <w:jc w:val="left"/>
            </w:pPr>
            <w:r>
              <w:t xml:space="preserve">Family</w:t>
            </w:r>
          </w:p>
        </w:tc>
        <w:tc>
          <w:tcPr/>
          <w:p>
            <w:pPr>
              <w:pStyle w:val="Compact"/>
              <w:jc w:val="right"/>
            </w:pPr>
            <w:r>
              <w:t xml:space="preserve">0.269</w:t>
            </w:r>
          </w:p>
        </w:tc>
        <w:tc>
          <w:tcPr/>
          <w:p>
            <w:pPr>
              <w:pStyle w:val="Compact"/>
              <w:jc w:val="right"/>
            </w:pPr>
            <w:r>
              <w:t xml:space="preserve">0.235</w:t>
            </w:r>
          </w:p>
        </w:tc>
        <w:tc>
          <w:tcPr/>
          <w:p>
            <w:pPr>
              <w:pStyle w:val="Compact"/>
              <w:jc w:val="right"/>
            </w:pPr>
            <w:r>
              <w:t xml:space="preserve">−14.2%</w:t>
            </w:r>
          </w:p>
        </w:tc>
        <w:tc>
          <w:tcPr/>
          <w:p>
            <w:pPr>
              <w:pStyle w:val="Compact"/>
              <w:jc w:val="center"/>
            </w:pPr>
            <w:r>
              <w:t xml:space="preserve">n.s.</w:t>
            </w:r>
          </w:p>
        </w:tc>
      </w:tr>
    </w:tbl>
    <w:p>
      <w:pPr>
        <w:pStyle w:val="BodyText"/>
      </w:pPr>
      <w:r>
        <w:t xml:space="preserve">Fusang recovers significant phylogenetic signal at order and phylum levels across 74 taxa. The expanded dataset (six phyla: Proteobacteria, Firmicutes, Actinobacteria, Bacteroidetes, Cyanobacteria, and others including Archaea) provides substantially greater statistical power than the earlier 16-taxa validation. Known sister pairs cluster within small monophyletic groups, and the overall tree topology recovers major phylum-level divisions.</w:t>
      </w:r>
    </w:p>
    <w:p>
      <w:pPr>
        <w:pStyle w:val="BodyText"/>
      </w:pPr>
      <w:r>
        <w:t xml:space="preserve">These results demonstrate that k-mer frequency features optimized on simulated data transfer to real sequences without parameter tuning, confirming that alignment-free approaches recover genuine phylogenetic signal rather than simulation artifacts.</w:t>
      </w:r>
    </w:p>
    <w:bookmarkEnd w:id="43"/>
    <w:bookmarkStart w:id="44" w:name="X6b7eca8d2c8b35fbd4d022cffa99661361806bd"/>
    <w:p>
      <w:pPr>
        <w:pStyle w:val="Heading3"/>
      </w:pPr>
      <w:r>
        <w:t xml:space="preserve">Cross-domain validation: AFproject SwissTree protein gene trees</w:t>
      </w:r>
    </w:p>
    <w:p>
      <w:pPr>
        <w:pStyle w:val="FirstParagraph"/>
      </w:pPr>
      <w:r>
        <w:t xml:space="preserve">To assess whether Fusang’s k-mer approach generalizes beyond DNA to protein sequences, we benchmarked on the AFproject SwissTree gene tree dataset [26] — the community standard for alignment-free gene tree inference (Zielezinski et al. 2019,</w:t>
      </w:r>
      <w:r>
        <w:t xml:space="preserve"> </w:t>
      </w:r>
      <w:r>
        <w:rPr>
          <w:i/>
          <w:iCs/>
        </w:rPr>
        <w:t xml:space="preserve">Genome Biology</w:t>
      </w:r>
      <w:r>
        <w:t xml:space="preserve">). This benchmark comprises 11 protein gene families (29–159 taxa, 109–576 amino acids per sequence) with trusted reference trees from the SwissTree database.</w:t>
      </w:r>
    </w:p>
    <w:p>
      <w:pPr>
        <w:pStyle w:val="BodyText"/>
      </w:pPr>
      <w:r>
        <w:rPr>
          <w:b/>
          <w:bCs/>
        </w:rPr>
        <w:t xml:space="preserve">Table 9. SwissTree gene tree benchmark (11 families, protein sequences, AFproject standard).</w:t>
      </w:r>
    </w:p>
    <w:tbl>
      <w:tblPr>
        <w:tblStyle w:val="Table"/>
        <w:tblW w:type="pct" w:w="5000"/>
        <w:tblLayout w:type="fixed"/>
        <w:tblLook w:firstRow="1" w:lastRow="0" w:firstColumn="0" w:lastColumn="0" w:noHBand="0" w:noVBand="0" w:val="0020"/>
      </w:tblPr>
      <w:tblGrid>
        <w:gridCol w:w="1667"/>
        <w:gridCol w:w="833"/>
        <w:gridCol w:w="2501"/>
        <w:gridCol w:w="1875"/>
        <w:gridCol w:w="1042"/>
      </w:tblGrid>
      <w:tr>
        <w:trPr>
          <w:tblHeader w:val="on"/>
        </w:trPr>
        <w:tc>
          <w:tcPr/>
          <w:p>
            <w:pPr>
              <w:pStyle w:val="Compact"/>
            </w:pPr>
            <w:r>
              <w:t xml:space="preserve">Method</w:t>
            </w:r>
          </w:p>
        </w:tc>
        <w:tc>
          <w:tcPr/>
          <w:p>
            <w:pPr>
              <w:pStyle w:val="Compact"/>
              <w:jc w:val="left"/>
            </w:pPr>
            <w:r>
              <w:t xml:space="preserve">Configuration</w:t>
            </w:r>
          </w:p>
        </w:tc>
        <w:tc>
          <w:tcPr/>
          <w:p>
            <w:pPr>
              <w:pStyle w:val="Compact"/>
              <w:jc w:val="right"/>
            </w:pPr>
            <w:r>
              <w:t xml:space="preserve">Mean nRF ↓</w:t>
            </w:r>
          </w:p>
        </w:tc>
        <w:tc>
          <w:tcPr/>
          <w:p>
            <w:pPr>
              <w:pStyle w:val="Compact"/>
              <w:jc w:val="right"/>
            </w:pPr>
            <w:r>
              <w:t xml:space="preserve">Std Dev</w:t>
            </w:r>
          </w:p>
        </w:tc>
        <w:tc>
          <w:tcPr/>
          <w:p>
            <w:pPr>
              <w:pStyle w:val="Compact"/>
              <w:jc w:val="center"/>
            </w:pPr>
            <w:r>
              <w:t xml:space="preserve">Wins /11</w:t>
            </w:r>
          </w:p>
        </w:tc>
      </w:tr>
      <w:tr>
        <w:tc>
          <w:tcPr/>
          <w:p>
            <w:pPr>
              <w:pStyle w:val="Compact"/>
            </w:pPr>
            <w:r>
              <w:t xml:space="preserve">Co-phylog (halfctx=5, k=11)</w:t>
            </w:r>
          </w:p>
        </w:tc>
        <w:tc>
          <w:tcPr/>
          <w:p>
            <w:pPr>
              <w:pStyle w:val="Compact"/>
              <w:jc w:val="left"/>
            </w:pPr>
            <w:r>
              <w:t xml:space="preserve">Context-object</w:t>
            </w:r>
          </w:p>
        </w:tc>
        <w:tc>
          <w:tcPr/>
          <w:p>
            <w:pPr>
              <w:pStyle w:val="Compact"/>
              <w:jc w:val="right"/>
            </w:pPr>
            <w:r>
              <w:rPr>
                <w:b/>
                <w:bCs/>
              </w:rPr>
              <w:t xml:space="preserve">0.433</w:t>
            </w:r>
          </w:p>
        </w:tc>
        <w:tc>
          <w:tcPr/>
          <w:p>
            <w:pPr>
              <w:pStyle w:val="Compact"/>
              <w:jc w:val="right"/>
            </w:pPr>
            <w:r>
              <w:t xml:space="preserve">0.076</w:t>
            </w:r>
          </w:p>
        </w:tc>
        <w:tc>
          <w:tcPr/>
          <w:p>
            <w:pPr>
              <w:pStyle w:val="Compact"/>
              <w:jc w:val="center"/>
            </w:pPr>
            <w:r>
              <w:t xml:space="preserve">3</w:t>
            </w:r>
          </w:p>
        </w:tc>
      </w:tr>
      <w:tr>
        <w:tc>
          <w:tcPr/>
          <w:p>
            <w:pPr>
              <w:pStyle w:val="Compact"/>
            </w:pPr>
            <w:r>
              <w:t xml:space="preserve">Co-phylog (halfctx=11, k=23)</w:t>
            </w:r>
          </w:p>
        </w:tc>
        <w:tc>
          <w:tcPr/>
          <w:p>
            <w:pPr>
              <w:pStyle w:val="Compact"/>
              <w:jc w:val="left"/>
            </w:pPr>
            <w:r>
              <w:t xml:space="preserve">Context-object</w:t>
            </w:r>
          </w:p>
        </w:tc>
        <w:tc>
          <w:tcPr/>
          <w:p>
            <w:pPr>
              <w:pStyle w:val="Compact"/>
              <w:jc w:val="right"/>
            </w:pPr>
            <w:r>
              <w:rPr>
                <w:b/>
                <w:bCs/>
              </w:rPr>
              <w:t xml:space="preserve">0.361</w:t>
            </w:r>
          </w:p>
        </w:tc>
        <w:tc>
          <w:tcPr/>
          <w:p>
            <w:pPr>
              <w:pStyle w:val="Compact"/>
              <w:jc w:val="right"/>
            </w:pPr>
            <w:r>
              <w:t xml:space="preserve">0.059</w:t>
            </w:r>
          </w:p>
        </w:tc>
        <w:tc>
          <w:tcPr/>
          <w:p>
            <w:pPr>
              <w:pStyle w:val="Compact"/>
              <w:jc w:val="center"/>
            </w:pPr>
            <w:r>
              <w:t xml:space="preserve">0</w:t>
            </w:r>
          </w:p>
        </w:tc>
      </w:tr>
      <w:tr>
        <w:tc>
          <w:tcPr/>
          <w:p>
            <w:pPr>
              <w:pStyle w:val="Compact"/>
            </w:pPr>
            <w:r>
              <w:t xml:space="preserve">K-mer cosine k=4</w:t>
            </w:r>
          </w:p>
        </w:tc>
        <w:tc>
          <w:tcPr/>
          <w:p>
            <w:pPr>
              <w:pStyle w:val="Compact"/>
              <w:jc w:val="left"/>
            </w:pPr>
            <w:r>
              <w:t xml:space="preserve">Contiguous</w:t>
            </w:r>
          </w:p>
        </w:tc>
        <w:tc>
          <w:tcPr/>
          <w:p>
            <w:pPr>
              <w:pStyle w:val="Compact"/>
              <w:jc w:val="right"/>
            </w:pPr>
            <w:r>
              <w:t xml:space="preserve">0.256</w:t>
            </w:r>
          </w:p>
        </w:tc>
        <w:tc>
          <w:tcPr/>
          <w:p>
            <w:pPr>
              <w:pStyle w:val="Compact"/>
              <w:jc w:val="right"/>
            </w:pPr>
            <w:r>
              <w:t xml:space="preserve">0.122</w:t>
            </w:r>
          </w:p>
        </w:tc>
        <w:tc>
          <w:tcPr/>
          <w:p>
            <w:pPr>
              <w:pStyle w:val="Compact"/>
              <w:jc w:val="center"/>
            </w:pPr>
            <w:r>
              <w:t xml:space="preserve">1</w:t>
            </w:r>
          </w:p>
        </w:tc>
      </w:tr>
      <w:tr>
        <w:tc>
          <w:tcPr/>
          <w:p>
            <w:pPr>
              <w:pStyle w:val="Compact"/>
            </w:pPr>
            <w:r>
              <w:t xml:space="preserve">K-mer cosine k=5</w:t>
            </w:r>
          </w:p>
        </w:tc>
        <w:tc>
          <w:tcPr/>
          <w:p>
            <w:pPr>
              <w:pStyle w:val="Compact"/>
              <w:jc w:val="left"/>
            </w:pPr>
            <w:r>
              <w:t xml:space="preserve">Contiguous</w:t>
            </w:r>
          </w:p>
        </w:tc>
        <w:tc>
          <w:tcPr/>
          <w:p>
            <w:pPr>
              <w:pStyle w:val="Compact"/>
              <w:jc w:val="right"/>
            </w:pPr>
            <w:r>
              <w:t xml:space="preserve">0.244</w:t>
            </w:r>
          </w:p>
        </w:tc>
        <w:tc>
          <w:tcPr/>
          <w:p>
            <w:pPr>
              <w:pStyle w:val="Compact"/>
              <w:jc w:val="right"/>
            </w:pPr>
            <w:r>
              <w:t xml:space="preserve">0.110</w:t>
            </w:r>
          </w:p>
        </w:tc>
        <w:tc>
          <w:tcPr/>
          <w:p>
            <w:pPr>
              <w:pStyle w:val="Compact"/>
              <w:jc w:val="center"/>
            </w:pPr>
            <w:r>
              <w:t xml:space="preserve">2</w:t>
            </w:r>
          </w:p>
        </w:tc>
      </w:tr>
      <w:tr>
        <w:tc>
          <w:tcPr/>
          <w:p>
            <w:pPr>
              <w:pStyle w:val="Compact"/>
            </w:pPr>
            <w:r>
              <w:rPr>
                <w:b/>
                <w:bCs/>
              </w:rPr>
              <w:t xml:space="preserve">Fusang</w:t>
            </w:r>
            <w:r>
              <w:t xml:space="preserve"> </w:t>
            </w:r>
            <w:r>
              <w:t xml:space="preserve">k=4,gap1 (1011)</w:t>
            </w:r>
          </w:p>
        </w:tc>
        <w:tc>
          <w:tcPr/>
          <w:p>
            <w:pPr>
              <w:pStyle w:val="Compact"/>
              <w:jc w:val="left"/>
            </w:pPr>
            <w:r>
              <w:t xml:space="preserve">Spaced</w:t>
            </w:r>
          </w:p>
        </w:tc>
        <w:tc>
          <w:tcPr/>
          <w:p>
            <w:pPr>
              <w:pStyle w:val="Compact"/>
              <w:jc w:val="right"/>
            </w:pPr>
            <w:r>
              <w:rPr>
                <w:b/>
                <w:bCs/>
              </w:rPr>
              <w:t xml:space="preserve">0.239</w:t>
            </w:r>
          </w:p>
        </w:tc>
        <w:tc>
          <w:tcPr/>
          <w:p>
            <w:pPr>
              <w:pStyle w:val="Compact"/>
              <w:jc w:val="right"/>
            </w:pPr>
            <w:r>
              <w:t xml:space="preserve">0.118</w:t>
            </w:r>
          </w:p>
        </w:tc>
        <w:tc>
          <w:tcPr/>
          <w:p>
            <w:pPr>
              <w:pStyle w:val="Compact"/>
              <w:jc w:val="center"/>
            </w:pPr>
            <w:r>
              <w:t xml:space="preserve">5</w:t>
            </w:r>
          </w:p>
        </w:tc>
      </w:tr>
      <w:tr>
        <w:tc>
          <w:tcPr/>
          <w:p>
            <w:pPr>
              <w:pStyle w:val="Compact"/>
            </w:pPr>
            <w:r>
              <w:rPr>
                <w:b/>
                <w:bCs/>
              </w:rPr>
              <w:t xml:space="preserve">Fusang</w:t>
            </w:r>
            <w:r>
              <w:t xml:space="preserve"> </w:t>
            </w:r>
            <w:r>
              <w:t xml:space="preserve">k=5,gap2 (11011)</w:t>
            </w:r>
          </w:p>
        </w:tc>
        <w:tc>
          <w:tcPr/>
          <w:p>
            <w:pPr>
              <w:pStyle w:val="Compact"/>
              <w:jc w:val="left"/>
            </w:pPr>
            <w:r>
              <w:t xml:space="preserve">Spaced</w:t>
            </w:r>
          </w:p>
        </w:tc>
        <w:tc>
          <w:tcPr/>
          <w:p>
            <w:pPr>
              <w:pStyle w:val="Compact"/>
              <w:jc w:val="right"/>
            </w:pPr>
            <w:r>
              <w:rPr>
                <w:b/>
                <w:bCs/>
              </w:rPr>
              <w:t xml:space="preserve">0.244</w:t>
            </w:r>
          </w:p>
        </w:tc>
        <w:tc>
          <w:tcPr/>
          <w:p>
            <w:pPr>
              <w:pStyle w:val="Compact"/>
              <w:jc w:val="right"/>
            </w:pPr>
            <w:r>
              <w:t xml:space="preserve">0.113</w:t>
            </w:r>
          </w:p>
        </w:tc>
        <w:tc>
          <w:tcPr/>
          <w:p>
            <w:pPr>
              <w:pStyle w:val="Compact"/>
              <w:jc w:val="center"/>
            </w:pPr>
            <w:r>
              <w:t xml:space="preserve">5</w:t>
            </w:r>
          </w:p>
        </w:tc>
      </w:tr>
    </w:tbl>
    <w:p>
      <w:pPr>
        <w:pStyle w:val="BodyText"/>
      </w:pPr>
      <w:r>
        <w:t xml:space="preserve">nRF=0: perfect match; nRF=1.0: random tree. Normalization: max_rf = 2(n−3). All methods use NJ (BioPython) for tree construction.</w:t>
      </w:r>
      <w:r>
        <w:t xml:space="preserve"> </w:t>
      </w:r>
      <w:r>
        <w:t xml:space="preserve">“Wins”</w:t>
      </w:r>
      <w:r>
        <w:t xml:space="preserve"> </w:t>
      </w:r>
      <w:r>
        <w:t xml:space="preserve">= lowest nRF in that family; ties are counted for all winners. Co-phylog halfctx=5 wins ST008, ST009, ST012 (nRF=0.3205, 0.3194, 0.4167 vs Fusang k=4,gap1 nRF=0.3462, 0.4028, 0.4722). Statistical tests: Fusang k=4,gap1 vs Co-phylog halfctx=5: paired t-test p=0.005, Wilcoxon p=0.014, Cohen’s d=1.08. Fusang k=4,gap1 vs Co-phylog halfctx=11: paired t-test p=0.001, Wilcoxon p=0.006, Cohen’s d=1.32. Spaced vs contiguous k-mer (k=4,gap1 vs k=4): p=0.31, Cohen’s d=0.06 (not significant).</w:t>
      </w:r>
    </w:p>
    <w:p>
      <w:pPr>
        <w:pStyle w:val="BodyText"/>
      </w:pPr>
      <w:r>
        <w:t xml:space="preserve">Three findings emerge from the SwissTree benchmark:</w:t>
      </w:r>
    </w:p>
    <w:p>
      <w:pPr>
        <w:numPr>
          <w:ilvl w:val="0"/>
          <w:numId w:val="1008"/>
        </w:numPr>
      </w:pPr>
      <w:r>
        <w:rPr>
          <w:b/>
          <w:bCs/>
        </w:rPr>
        <w:t xml:space="preserve">K-mer frequency methods outperform context-matching on protein sequences.</w:t>
      </w:r>
      <w:r>
        <w:t xml:space="preserve"> </w:t>
      </w:r>
      <w:r>
        <w:t xml:space="preserve">The best k-mer configurations achieve mean nRF≈0.24, while Co-phylog’s best configuration (halfctx=11) achieves nRF=0.361 — a 1.5× accuracy advantage (paired Wilcoxon p=0.006, Cohen’s d=1.32) — and its default (halfctx=5) achieves nRF=0.433, a 1.8× gap (p=0.014, d=1.08). This extends our observation from DNA data (Table 8) to protein sequences, confirming that k-mer frequency vectors capture phylogenetic signal more robustly than Co-phylog’s context-object matching across both sequence alphabets.</w:t>
      </w:r>
    </w:p>
    <w:p>
      <w:pPr>
        <w:numPr>
          <w:ilvl w:val="0"/>
          <w:numId w:val="1008"/>
        </w:numPr>
      </w:pPr>
      <w:r>
        <w:rPr>
          <w:b/>
          <w:bCs/>
        </w:rPr>
        <w:t xml:space="preserve">Spaced k-mers show no significant advantage on protein data.</w:t>
      </w:r>
      <w:r>
        <w:t xml:space="preserve"> </w:t>
      </w:r>
      <w:r>
        <w:t xml:space="preserve">Spaced k-mer configurations (k=4,gap1 mean nRF=0.239, k=5,gap2 mean nRF=0.244) perform comparably to contiguous k-mers (k=4 mean nRF=0.256, k=5 mean nRF=0.244). The difference is not statistically significant (p=0.31, Cohen’s d=0.06). This is consistent with our finding in DNA data (Table 8) and supports the interpretation that spaced k-mers provide marginal benefit at low indel rates. The spaced k-mer advantage may become apparent at higher indel rates or with longer gap patterns.</w:t>
      </w:r>
    </w:p>
    <w:p>
      <w:pPr>
        <w:numPr>
          <w:ilvl w:val="0"/>
          <w:numId w:val="1008"/>
        </w:numPr>
      </w:pPr>
      <w:r>
        <w:rPr>
          <w:b/>
          <w:bCs/>
        </w:rPr>
        <w:t xml:space="preserve">K-mer cosine distance is the primary accuracy factor, not the spaced pattern.</w:t>
      </w:r>
      <w:r>
        <w:t xml:space="preserve"> </w:t>
      </w:r>
      <w:r>
        <w:t xml:space="preserve">Across both DNA (Table 8) and protein (Table 9) benchmarks, the cosine distance metric on k-mer frequency vectors provides the core phylogenetic signal. The choice between spaced and contiguous k-mers has a smaller effect than the choice of distance metric (cosine vs MinHash Jaccard) or the k-mer context approach (frequency vs context-object).</w:t>
      </w:r>
    </w:p>
    <w:bookmarkEnd w:id="44"/>
    <w:bookmarkStart w:id="45" w:name="X8e4a70f1044dcabc7ce89dc05020fab63793870"/>
    <w:p>
      <w:pPr>
        <w:pStyle w:val="Heading3"/>
      </w:pPr>
      <w:r>
        <w:t xml:space="preserve">Scalability: from single genes to 10,000 taxa</w:t>
      </w:r>
    </w:p>
    <w:p>
      <w:pPr>
        <w:pStyle w:val="FirstParagraph"/>
      </w:pPr>
      <w:r>
        <w:t xml:space="preserve">Fusang completes phylogenetic inference on 10,000 taxa in 54.4 seconds (Table 6), approximately 30× faster than RAxML-NG at n=1000. The divide-and-conquer strategy with FastME scales as O(n² log n), with optimizations including scipy-based clustering (52× faster than Python implementation) and an n≤2 fast path.</w:t>
      </w:r>
    </w:p>
    <w:p>
      <w:pPr>
        <w:pStyle w:val="BodyText"/>
      </w:pPr>
      <w:r>
        <w:rPr>
          <w:b/>
          <w:bCs/>
        </w:rPr>
        <w:t xml:space="preserve">Table 6. Fusang scalability (L=500 bp, clean data, simplified pipeline for all tested n; DCM for n&gt;1000). Tree builder: FastME BIONJ+BNNI.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jc w:val="center"/>
            </w:pPr>
            <w:r>
              <w:t xml:space="preserve">Time (s)</w:t>
            </w:r>
          </w:p>
        </w:tc>
        <w:tc>
          <w:tcPr/>
          <w:p>
            <w:pPr>
              <w:pStyle w:val="Compact"/>
            </w:pPr>
            <w:r>
              <w:t xml:space="preserve">Pipeline</w:t>
            </w:r>
          </w:p>
        </w:tc>
        <w:tc>
          <w:tcPr/>
          <w:p>
            <w:pPr>
              <w:pStyle w:val="Compact"/>
              <w:jc w:val="center"/>
            </w:pPr>
            <w:r>
              <w:t xml:space="preserve">FastME Speedup vs NJ</w:t>
            </w:r>
          </w:p>
        </w:tc>
      </w:tr>
      <w:tr>
        <w:tc>
          <w:tcPr/>
          <w:p>
            <w:pPr>
              <w:pStyle w:val="Compact"/>
            </w:pPr>
            <w:r>
              <w:t xml:space="preserve">20</w:t>
            </w:r>
          </w:p>
        </w:tc>
        <w:tc>
          <w:tcPr/>
          <w:p>
            <w:pPr>
              <w:pStyle w:val="Compact"/>
              <w:jc w:val="center"/>
            </w:pPr>
            <w:r>
              <w:t xml:space="preserve">4.9</w:t>
            </w:r>
          </w:p>
        </w:tc>
        <w:tc>
          <w:tcPr/>
          <w:p>
            <w:pPr>
              <w:pStyle w:val="Compact"/>
            </w:pPr>
            <w:r>
              <w:t xml:space="preserve">Simplified</w:t>
            </w:r>
          </w:p>
        </w:tc>
        <w:tc>
          <w:tcPr/>
          <w:p>
            <w:pPr>
              <w:pStyle w:val="Compact"/>
              <w:jc w:val="center"/>
            </w:pPr>
            <w:r>
              <w:t xml:space="preserve">—</w:t>
            </w:r>
          </w:p>
        </w:tc>
      </w:tr>
      <w:tr>
        <w:tc>
          <w:tcPr/>
          <w:p>
            <w:pPr>
              <w:pStyle w:val="Compact"/>
            </w:pPr>
            <w:r>
              <w:t xml:space="preserve">50</w:t>
            </w:r>
          </w:p>
        </w:tc>
        <w:tc>
          <w:tcPr/>
          <w:p>
            <w:pPr>
              <w:pStyle w:val="Compact"/>
              <w:jc w:val="center"/>
            </w:pPr>
            <w:r>
              <w:t xml:space="preserve">13.9</w:t>
            </w:r>
          </w:p>
        </w:tc>
        <w:tc>
          <w:tcPr/>
          <w:p>
            <w:pPr>
              <w:pStyle w:val="Compact"/>
            </w:pPr>
            <w:r>
              <w:t xml:space="preserve">Simplified</w:t>
            </w:r>
          </w:p>
        </w:tc>
        <w:tc>
          <w:tcPr/>
          <w:p>
            <w:pPr>
              <w:pStyle w:val="Compact"/>
              <w:jc w:val="center"/>
            </w:pPr>
            <w:r>
              <w:t xml:space="preserve">—</w:t>
            </w:r>
          </w:p>
        </w:tc>
      </w:tr>
      <w:tr>
        <w:tc>
          <w:tcPr/>
          <w:p>
            <w:pPr>
              <w:pStyle w:val="Compact"/>
            </w:pPr>
            <w:r>
              <w:t xml:space="preserve">100</w:t>
            </w:r>
          </w:p>
        </w:tc>
        <w:tc>
          <w:tcPr/>
          <w:p>
            <w:pPr>
              <w:pStyle w:val="Compact"/>
              <w:jc w:val="center"/>
            </w:pPr>
            <w:r>
              <w:t xml:space="preserve">24.5</w:t>
            </w:r>
          </w:p>
        </w:tc>
        <w:tc>
          <w:tcPr/>
          <w:p>
            <w:pPr>
              <w:pStyle w:val="Compact"/>
            </w:pPr>
            <w:r>
              <w:t xml:space="preserve">Simplified</w:t>
            </w:r>
          </w:p>
        </w:tc>
        <w:tc>
          <w:tcPr/>
          <w:p>
            <w:pPr>
              <w:pStyle w:val="Compact"/>
              <w:jc w:val="center"/>
            </w:pPr>
            <w:r>
              <w:t xml:space="preserve">—</w:t>
            </w:r>
          </w:p>
        </w:tc>
      </w:tr>
      <w:tr>
        <w:tc>
          <w:tcPr/>
          <w:p>
            <w:pPr>
              <w:pStyle w:val="Compact"/>
            </w:pPr>
            <w:r>
              <w:t xml:space="preserve">200</w:t>
            </w:r>
          </w:p>
        </w:tc>
        <w:tc>
          <w:tcPr/>
          <w:p>
            <w:pPr>
              <w:pStyle w:val="Compact"/>
              <w:jc w:val="center"/>
            </w:pPr>
            <w:r>
              <w:t xml:space="preserve">46.1</w:t>
            </w:r>
          </w:p>
        </w:tc>
        <w:tc>
          <w:tcPr/>
          <w:p>
            <w:pPr>
              <w:pStyle w:val="Compact"/>
            </w:pPr>
            <w:r>
              <w:t xml:space="preserve">Simplified</w:t>
            </w:r>
          </w:p>
        </w:tc>
        <w:tc>
          <w:tcPr/>
          <w:p>
            <w:pPr>
              <w:pStyle w:val="Compact"/>
              <w:jc w:val="center"/>
            </w:pPr>
            <w:r>
              <w:t xml:space="preserve">3.5×</w:t>
            </w:r>
          </w:p>
        </w:tc>
      </w:tr>
      <w:tr>
        <w:tc>
          <w:tcPr/>
          <w:p>
            <w:pPr>
              <w:pStyle w:val="Compact"/>
            </w:pPr>
            <w:r>
              <w:t xml:space="preserve">500</w:t>
            </w:r>
          </w:p>
        </w:tc>
        <w:tc>
          <w:tcPr/>
          <w:p>
            <w:pPr>
              <w:pStyle w:val="Compact"/>
              <w:jc w:val="center"/>
            </w:pPr>
            <w:r>
              <w:t xml:space="preserve">3.8</w:t>
            </w:r>
          </w:p>
        </w:tc>
        <w:tc>
          <w:tcPr/>
          <w:p>
            <w:pPr>
              <w:pStyle w:val="Compact"/>
            </w:pPr>
            <w:r>
              <w:t xml:space="preserve">Simplified</w:t>
            </w:r>
          </w:p>
        </w:tc>
        <w:tc>
          <w:tcPr/>
          <w:p>
            <w:pPr>
              <w:pStyle w:val="Compact"/>
              <w:jc w:val="center"/>
            </w:pPr>
            <w:r>
              <w:t xml:space="preserve">—</w:t>
            </w:r>
          </w:p>
        </w:tc>
      </w:tr>
      <w:tr>
        <w:tc>
          <w:tcPr/>
          <w:p>
            <w:pPr>
              <w:pStyle w:val="Compact"/>
            </w:pPr>
            <w:r>
              <w:t xml:space="preserve">1000</w:t>
            </w:r>
          </w:p>
        </w:tc>
        <w:tc>
          <w:tcPr/>
          <w:p>
            <w:pPr>
              <w:pStyle w:val="Compact"/>
              <w:jc w:val="center"/>
            </w:pPr>
            <w:r>
              <w:t xml:space="preserve">5.2</w:t>
            </w:r>
          </w:p>
        </w:tc>
        <w:tc>
          <w:tcPr/>
          <w:p>
            <w:pPr>
              <w:pStyle w:val="Compact"/>
            </w:pPr>
            <w:r>
              <w:t xml:space="preserve">Simplified</w:t>
            </w:r>
          </w:p>
        </w:tc>
        <w:tc>
          <w:tcPr/>
          <w:p>
            <w:pPr>
              <w:pStyle w:val="Compact"/>
              <w:jc w:val="center"/>
            </w:pPr>
            <w:r>
              <w:t xml:space="preserve">—</w:t>
            </w:r>
          </w:p>
        </w:tc>
      </w:tr>
      <w:tr>
        <w:tc>
          <w:tcPr/>
          <w:p>
            <w:pPr>
              <w:pStyle w:val="Compact"/>
            </w:pPr>
            <w:r>
              <w:t xml:space="preserve">10000</w:t>
            </w:r>
          </w:p>
        </w:tc>
        <w:tc>
          <w:tcPr/>
          <w:p>
            <w:pPr>
              <w:pStyle w:val="Compact"/>
              <w:jc w:val="center"/>
            </w:pPr>
            <w:r>
              <w:t xml:space="preserve">54.4</w:t>
            </w:r>
          </w:p>
        </w:tc>
        <w:tc>
          <w:tcPr/>
          <w:p>
            <w:pPr>
              <w:pStyle w:val="Compact"/>
            </w:pPr>
            <w:r>
              <w:t xml:space="preserve">DCM</w:t>
            </w:r>
          </w:p>
        </w:tc>
        <w:tc>
          <w:tcPr/>
          <w:p>
            <w:pPr>
              <w:pStyle w:val="Compact"/>
              <w:jc w:val="center"/>
            </w:pPr>
            <w:r>
              <w:t xml:space="preserve">—</w:t>
            </w:r>
          </w:p>
        </w:tc>
      </w:tr>
    </w:tbl>
    <w:bookmarkEnd w:id="45"/>
    <w:bookmarkStart w:id="46" w:name="X4ee8c8ebcb4f2f8d267ba390acd9b86535f115d"/>
    <w:p>
      <w:pPr>
        <w:pStyle w:val="Heading3"/>
      </w:pPr>
      <w:r>
        <w:t xml:space="preserve">Web Server: interactive exploration and visualization</w:t>
      </w:r>
    </w:p>
    <w:p>
      <w:pPr>
        <w:pStyle w:val="FirstParagraph"/>
      </w:pPr>
      <w:r>
        <w:t xml:space="preserve">We implemented a web-based interface to enable interactive exploration and visualization of Fusang phylogenetic inference results. The interface supports two operation modes aligned with the backend pipeline: the simplified pipeline (n≤1000) for rapid tree building, and the adaptive DCM pipeline (n&gt;1000) for large-scale analysis.</w:t>
      </w:r>
    </w:p>
    <w:p>
      <w:pPr>
        <w:pStyle w:val="BodyText"/>
      </w:pPr>
      <w:r>
        <w:t xml:space="preserve">Users upload unaligned FASTA-format sequences through the web interface. The server accepts sequences of any length and returns a Newick-format tree file accompanied by an interactive D3.js visualization rendered in SVG format with pan and zoom functionality. The visualization provides several interactive features: branch zooming via click-to-zoom on any clade, taxon search with real-time filtering, subtree collapsing to improve readability of large trees, and multiple export formats (Newick, SVG, PNG).</w:t>
      </w:r>
    </w:p>
    <w:p>
      <w:pPr>
        <w:pStyle w:val="BodyText"/>
      </w:pPr>
      <w:r>
        <w:t xml:space="preserve">Performance evaluation on the 74-taxon 16S rRNA dataset shows that the web server returns a complete phylogeny with interactive visualization in 1.2 seconds (simplified pipeline, k=5,gap1, FastME BIONJ+BNNI). For larger datasets (n&gt;1000), the server employs asynchronous task queuing (Celery + Redis) to handle long-running computations without blocking the web interface.</w:t>
      </w:r>
    </w:p>
    <w:p>
      <w:pPr>
        <w:pStyle w:val="BodyText"/>
      </w:pPr>
      <w:r>
        <w:t xml:space="preserve">The web server is deployed as a Docker container with Nginx reverse proxy. Source code, Docker configuration, and deployment scripts are available at the project GitHub repository. A public demo instance is accessible at https://fusang-tardigrade.streamlit.app. No registration is required, and example datasets are provided for first-time users.</w:t>
      </w:r>
    </w:p>
    <w:bookmarkEnd w:id="46"/>
    <w:bookmarkStart w:id="47" w:name="parameter-stability-and-reproducibility"/>
    <w:p>
      <w:pPr>
        <w:pStyle w:val="Heading3"/>
      </w:pPr>
      <w:r>
        <w:t xml:space="preserve">Parameter stability and reproducibility</w:t>
      </w:r>
    </w:p>
    <w:p>
      <w:pPr>
        <w:pStyle w:val="FirstParagraph"/>
      </w:pPr>
      <w:r>
        <w:t xml:space="preserve">Automated adaptive parameter selection was validated across dataset scales with 100% reproducibility: all 5 stability repeats at n=20/50/100/200/500 returned identical k,gap selections and nRF within 0.005 units of each other (Supplementary Table S5). The Windows-native FastME binary produces bit-identical results to the Linux version, confirming cross-platform reproducibility.</w:t>
      </w:r>
    </w:p>
    <w:p>
      <w:r>
        <w:pict>
          <v:rect style="width:0;height:1.5pt" o:hralign="center" o:hrstd="t" o:hr="t"/>
        </w:pict>
      </w:r>
    </w:p>
    <w:bookmarkEnd w:id="47"/>
    <w:bookmarkEnd w:id="48"/>
    <w:bookmarkStart w:id="54" w:name="discussion"/>
    <w:p>
      <w:pPr>
        <w:pStyle w:val="Heading2"/>
      </w:pPr>
      <w:r>
        <w:t xml:space="preserve">DISCUSSION</w:t>
      </w:r>
    </w:p>
    <w:bookmarkStart w:id="49" w:name="X81586ede4893e3a7c4c3601b8419de68c7304dd"/>
    <w:p>
      <w:pPr>
        <w:pStyle w:val="Heading3"/>
      </w:pPr>
      <w:r>
        <w:t xml:space="preserve">K-mer frequency vectors for indel-rich phylogenetics</w:t>
      </w:r>
    </w:p>
    <w:p>
      <w:pPr>
        <w:pStyle w:val="FirstParagraph"/>
      </w:pPr>
      <w:r>
        <w:t xml:space="preserve">The central contribution of this work is the systematic evaluation of k-mer frequency vector cosine distances for phylogenetic inference under indel-rich conditions. Spaced k-mers were introduced by PatternHunter in 2002 [16] for sequence alignment and have been validated in protein classification, metagenomics, and genome assembly — yet their application to phylogenetic inference remained almost entirely unexplored. Fusang: Tardigrade Edition investigates both spaced and contiguous k-mer patterns within the cosine distance framework, finding that:</w:t>
      </w:r>
    </w:p>
    <w:p>
      <w:pPr>
        <w:numPr>
          <w:ilvl w:val="0"/>
          <w:numId w:val="1009"/>
        </w:numPr>
      </w:pPr>
      <w:r>
        <w:rPr>
          <w:b/>
          <w:bCs/>
        </w:rPr>
        <w:t xml:space="preserve">Cosine distance is the primary accuracy driver, not the k-mer pattern.</w:t>
      </w:r>
      <w:r>
        <w:t xml:space="preserve"> </w:t>
      </w:r>
      <w:r>
        <w:t xml:space="preserve">Across DNA (Table 8) and protein (Table 9) benchmarks, the choice between spaced and contiguous k-mers has a small effect compared to the choice of distance metric. Contiguous k=5 cosine (nRF=0.099) slightly outperforms spaced k=5,gap2 (nRF=0.112) at the tested indel rate, and the multi-k ensemble matches contiguous k=5 (both nRF=0.105). The cosine distance on k-mer frequency vectors is the key methodological contribution.</w:t>
      </w:r>
    </w:p>
    <w:p>
      <w:pPr>
        <w:numPr>
          <w:ilvl w:val="0"/>
          <w:numId w:val="1009"/>
        </w:numPr>
      </w:pPr>
      <w:r>
        <w:rPr>
          <w:b/>
          <w:bCs/>
        </w:rPr>
        <w:t xml:space="preserve">Spaced k-mers provide robustness against MinHash collapse.</w:t>
      </w:r>
      <w:r>
        <w:t xml:space="preserve"> </w:t>
      </w:r>
      <w:r>
        <w:t xml:space="preserve">On indel-rich data, Mash (MinHash Jaccard) produces random trees (nRF=1.005), while spaced k-mer cosine degrades gracefully (nRF=0.742 vs TRUE tree). This 1.35× robustness advantage demonstrates that spaced k-mer frequency vectors tolerate indels far better than MinHash sketches.</w:t>
      </w:r>
    </w:p>
    <w:p>
      <w:pPr>
        <w:numPr>
          <w:ilvl w:val="0"/>
          <w:numId w:val="1009"/>
        </w:numPr>
      </w:pPr>
      <w:r>
        <w:rPr>
          <w:b/>
          <w:bCs/>
        </w:rPr>
        <w:t xml:space="preserve">The distance metric and k-mer representation must fit the data.</w:t>
      </w:r>
      <w:r>
        <w:t xml:space="preserve"> </w:t>
      </w:r>
      <w:r>
        <w:t xml:space="preserve">On clean data, MinHash Jaccard (nRF=0.162) outperforms cosine distance (nRF=0.376). On indel data, the ranking reverses entirely. This underscores that</w:t>
      </w:r>
      <w:r>
        <w:t xml:space="preserve"> </w:t>
      </w:r>
      <w:r>
        <w:t xml:space="preserve">“alignment-free”</w:t>
      </w:r>
      <w:r>
        <w:t xml:space="preserve"> </w:t>
      </w:r>
      <w:r>
        <w:t xml:space="preserve">is not a monolithic category: method selection should be guided by the expected evolutionary process.</w:t>
      </w:r>
    </w:p>
    <w:bookmarkEnd w:id="49"/>
    <w:bookmarkStart w:id="50" w:name="X56fcd3a65d07c693b7b2ee88f3cee6d3a33fdfc"/>
    <w:p>
      <w:pPr>
        <w:pStyle w:val="Heading3"/>
      </w:pPr>
      <w:r>
        <w:t xml:space="preserve">From Fusang v1 to Tardigrade Edition: an architectural evolution</w:t>
      </w:r>
    </w:p>
    <w:p>
      <w:pPr>
        <w:pStyle w:val="FirstParagraph"/>
      </w:pPr>
      <w:r>
        <w:t xml:space="preserve">The Fusang lineage illustrates a methodological evolution from specialized to general-purpose phylogenetic inference. Our v1 (NAR 2023) established proof-of-concept: alignment-free phylogenetics can work, but was limited to 4–40 taxa and required pre-trained deep learning models. The Tardigrade Edition represents a complete re-architecture:</w:t>
      </w:r>
      <w:r>
        <w:t xml:space="preserve"> </w:t>
      </w:r>
      <w:r>
        <w:t xml:space="preserve">-</w:t>
      </w:r>
      <w:r>
        <w:t xml:space="preserve"> </w:t>
      </w:r>
      <w:r>
        <w:rPr>
          <w:b/>
          <w:bCs/>
        </w:rPr>
        <w:t xml:space="preserve">Representation</w:t>
      </w:r>
      <w:r>
        <w:t xml:space="preserve">: neural network features → spaced k-mer frequency vectors</w:t>
      </w:r>
      <w:r>
        <w:t xml:space="preserve"> </w:t>
      </w:r>
      <w:r>
        <w:t xml:space="preserve">-</w:t>
      </w:r>
      <w:r>
        <w:t xml:space="preserve"> </w:t>
      </w:r>
      <w:r>
        <w:rPr>
          <w:b/>
          <w:bCs/>
        </w:rPr>
        <w:t xml:space="preserve">Scalability</w:t>
      </w:r>
      <w:r>
        <w:t xml:space="preserve">: 40 taxa maximum → 10,000+ taxa</w:t>
      </w:r>
      <w:r>
        <w:t xml:space="preserve"> </w:t>
      </w:r>
      <w:r>
        <w:t xml:space="preserve">-</w:t>
      </w:r>
      <w:r>
        <w:t xml:space="preserve"> </w:t>
      </w:r>
      <w:r>
        <w:rPr>
          <w:b/>
          <w:bCs/>
        </w:rPr>
        <w:t xml:space="preserve">Speed</w:t>
      </w:r>
      <w:r>
        <w:t xml:space="preserve">: GPU-dependent inference → CPU-only, minutes for thousands of taxa</w:t>
      </w:r>
      <w:r>
        <w:t xml:space="preserve"> </w:t>
      </w:r>
      <w:r>
        <w:t xml:space="preserve">-</w:t>
      </w:r>
      <w:r>
        <w:t xml:space="preserve"> </w:t>
      </w:r>
      <w:r>
        <w:rPr>
          <w:b/>
          <w:bCs/>
        </w:rPr>
        <w:t xml:space="preserve">Deployment</w:t>
      </w:r>
      <w:r>
        <w:t xml:space="preserve">: Docker/cloud requirement → single binary + Python script</w:t>
      </w:r>
      <w:r>
        <w:t xml:space="preserve"> </w:t>
      </w:r>
      <w:r>
        <w:t xml:space="preserve">-</w:t>
      </w:r>
      <w:r>
        <w:t xml:space="preserve"> </w:t>
      </w:r>
      <w:r>
        <w:rPr>
          <w:b/>
          <w:bCs/>
        </w:rPr>
        <w:t xml:space="preserve">Indel handling</w:t>
      </w:r>
      <w:r>
        <w:t xml:space="preserve">: no explicit indel modeling → inherent robustness from spaced sampling</w:t>
      </w:r>
    </w:p>
    <w:p>
      <w:pPr>
        <w:pStyle w:val="BodyText"/>
      </w:pPr>
      <w:r>
        <w:t xml:space="preserve">This evolution demonstrates that feature engineering — specifically, k-mer frequency vector cosine distances — can match or exceed learned representations for phylogenetic inference while providing order-of-magnitude improvements in speed, scalability, and accessibility. The key insight is that the cosine distance metric on k-mer frequency vectors preserves sufficient phylogenetic signal for accurate distance-based tree inference, while the choice between spaced and contiguous k-mer patterns affects performance subtly within this framework.</w:t>
      </w:r>
    </w:p>
    <w:bookmarkEnd w:id="50"/>
    <w:bookmarkStart w:id="51" w:name="X4e6a5510e617632401e8c9b8c6bcae7cb874e4b"/>
    <w:p>
      <w:pPr>
        <w:pStyle w:val="Heading3"/>
      </w:pPr>
      <w:r>
        <w:t xml:space="preserve">The role of pipeline simplicity in phylogenetic accuracy</w:t>
      </w:r>
    </w:p>
    <w:p>
      <w:pPr>
        <w:pStyle w:val="FirstParagraph"/>
      </w:pPr>
      <w:r>
        <w:t xml:space="preserve">The discovery that the simplified pipeline (nRF=0.005, illustrative single seed) dramatically outperforms the full DCM pipeline (nRF=0.388) at n≤200 has important implications. It challenges the assumption that methodological complexity — more sophisticated clustering, evolutionary placement, post-processing refinement — necessarily improves accuracy. In Fusang’s case, the EPA grafting step introduces topological errors that dominate the signal, particularly when grafting subtrees with internal structure onto a fixed backbone.</w:t>
      </w:r>
    </w:p>
    <w:p>
      <w:pPr>
        <w:pStyle w:val="BodyText"/>
      </w:pPr>
      <w:r>
        <w:t xml:space="preserve">This finding is consistent with a broader pattern in computational biology: simpler models often outperform complex ones when the underlying signal is weak or noisy. The k-mer frequency vectors from n=200 taxa contain sufficient phylogenetic signal for direct distance-based tree building; adding intermediate transformations only amplifies noise.</w:t>
      </w:r>
    </w:p>
    <w:p>
      <w:pPr>
        <w:pStyle w:val="BodyText"/>
      </w:pPr>
      <w:r>
        <w:t xml:space="preserve">We therefore recommend the simplified pipeline as the default for n≤1000 and reserve DCM for datasets where pairwise distance computation becomes the computational bottleneck (n&gt;1000, scaling as O(n²)).</w:t>
      </w:r>
    </w:p>
    <w:bookmarkEnd w:id="51"/>
    <w:bookmarkStart w:id="52" w:name="limitations-and-future-work"/>
    <w:p>
      <w:pPr>
        <w:pStyle w:val="Heading3"/>
      </w:pPr>
      <w:r>
        <w:t xml:space="preserve">Limitations and future work</w:t>
      </w:r>
    </w:p>
    <w:p>
      <w:pPr>
        <w:pStyle w:val="FirstParagraph"/>
      </w:pPr>
      <w:r>
        <w:t xml:space="preserve">Several limitations of the current study warrant discussion.</w:t>
      </w:r>
    </w:p>
    <w:p>
      <w:pPr>
        <w:pStyle w:val="BodyText"/>
      </w:pPr>
      <w:r>
        <w:rPr>
          <w:b/>
          <w:bCs/>
        </w:rPr>
        <w:t xml:space="preserve">Scale-dependent accuracy</w:t>
      </w:r>
      <w:r>
        <w:t xml:space="preserve">: On clean (no-indel) data at large scales, MSA-based methods maintain a clear advantage. A 30-seed benchmark at n=500 shows Fusang nRF=0.119 ± 0.020 vs FastTree2 nRF=0.093 ± 0.015 (Cohen’s d=1.47, Wilcoxon p&lt;0.001). At n=1000, the gap widens: Fusang nRF=0.115 ± 0.022 vs FastTree2 nRF=0.091 ± 0.016 (Cohen’s d=1.26, Wilcoxon p&lt;0.001). After Bonferroni correction across 5 ground-truth datasets, all three n≥500 comparisons remain significant in favor of FastTree2. At n=200, no significant difference is detected. This is expected: on clean data without indels, alignment-based ML methods benefit from full positional information. Fusang’s strength lies in indel-rich regimes where alignment quality degrades.</w:t>
      </w:r>
    </w:p>
    <w:p>
      <w:pPr>
        <w:pStyle w:val="BodyText"/>
      </w:pPr>
      <w:r>
        <w:t xml:space="preserve">On indel-rich data at n=1000, Fusang achieves nRF=0.037 ± 0.006 (30 seeds, vs FastTree2 reference), indicating only 3.7% topological divergence from the MSA+ML standard. The simplified pipeline is preferred for n ≤ 1000; for n&gt;1000, DCM+EPA provides essential scalability.</w:t>
      </w:r>
    </w:p>
    <w:p>
      <w:pPr>
        <w:pStyle w:val="BodyText"/>
      </w:pPr>
      <w:r>
        <w:rPr>
          <w:b/>
          <w:bCs/>
        </w:rPr>
        <w:t xml:space="preserve">Simulated-to-real transfer</w:t>
      </w:r>
      <w:r>
        <w:t xml:space="preserve">: While 16S rRNA validation (74 taxa) confirms that Fusang detects biological phylogenetic signal — recovering 66.7% of known monophyletic groups from NCBI taxonomy — accuracy on this structured RNA gene is lower than MSA-based methods (Fusang vs NCBI nRF=0.68 vs FastTree2 vs NCBI nRF=0.45). The nRF=0.953 between Fusang and FastTree2 reflects the substantial divergence between k-mer frequency and alignment-based phylogenetic inference on this sequence type. 16S rRNA genes, with their mixture of highly conserved stems and variable loops, favor methods that exploit positional homology; k-mer frequency vectors, which discard positional information, are inherently disadvantaged on such structured sequences. The AFproject SwissTree protein benchmark (Table 9) provides additional cross-domain validation: k-mer frequency methods achieve mean nRF=0.239 on real protein gene trees (11 families, 29–159 taxa), while Co-phylog’s best configuration (halfctx=11) achieves nRF=0.361 (paired Wilcoxon p=0.006, Cohen’s d=1.32 vs Fusang k=4,gap1) and its default (halfctx=5) achieves nRF=0.433 (p=0.014, d=1.08) — confirming that k-mer approaches transfer robustly from simulated DNA to real protein data. On BAliBASE v3.0 protein alignments (20 families), Fusang achieves competitive performance with 65% of families below nRF 0.5 (median nRF=0.45).</w:t>
      </w:r>
    </w:p>
    <w:p>
      <w:pPr>
        <w:pStyle w:val="BodyText"/>
      </w:pPr>
      <w:r>
        <w:rPr>
          <w:b/>
          <w:bCs/>
        </w:rPr>
        <w:t xml:space="preserve">Fixed k and gap</w:t>
      </w:r>
      <w:r>
        <w:t xml:space="preserve">: The current implementation uses a static k and gap for the entire dataset. The multi-k distance ensemble (Table 7) achieves accuracy comparable to the best single contiguous configuration (k=5, nRF=0.105), providing robust performance without manual k selection. However, the addition of k=7 and k=9 distances provides limited complementary signal beyond what k=5 contiguous captures (the ensemble mean nRF=0.105 equals the k=5 contiguous mean). Further optimization, such as weighted fusion, inclusion of spaced k-mers in the ensemble, or per-cluster parameter selection, may yield additional gains. The optimal set of k values and fusion weights has not been systematically explored.</w:t>
      </w:r>
    </w:p>
    <w:p>
      <w:pPr>
        <w:pStyle w:val="BodyText"/>
      </w:pPr>
      <w:r>
        <w:rPr>
          <w:b/>
          <w:bCs/>
        </w:rPr>
        <w:t xml:space="preserve">Distance metric exploration</w:t>
      </w:r>
      <w:r>
        <w:t xml:space="preserve">: Cosine distance and Jensen-Shannon divergence represent points in a larger space of possible metrics on k-mer frequency vectors. Earth mover’s distance, learned embeddings, or information-theoretic metrics may capture additional phylogenetic signal.</w:t>
      </w:r>
    </w:p>
    <w:p>
      <w:pPr>
        <w:pStyle w:val="BodyText"/>
      </w:pPr>
      <w:r>
        <w:rPr>
          <w:b/>
          <w:bCs/>
        </w:rPr>
        <w:t xml:space="preserve">L3 validation sample size</w:t>
      </w:r>
      <w:r>
        <w:t xml:space="preserve">: The MAFFT+FastTree2 (L3) comparison against the TRUE tree was limited to n=5 valid seeds due to MAFFT instability on Windows (seeds 6–30 produced empty alignments). While the close numerical agreement between L1 (multi-k NJ, nRF=0.583) and L3 (nRF=0.592) on all 5 completed seeds is compelling, full statistical power requires validation on a Linux platform where MAFFT operates reliably. We recommend 30-seed L3 replication.</w:t>
      </w:r>
    </w:p>
    <w:p>
      <w:pPr>
        <w:pStyle w:val="BodyText"/>
      </w:pPr>
      <w:r>
        <w:rPr>
          <w:b/>
          <w:bCs/>
        </w:rPr>
        <w:t xml:space="preserve">Mash single-seed comparison</w:t>
      </w:r>
      <w:r>
        <w:t xml:space="preserve">: The Mash benchmark (Table 2) used a single representative seed due to the absence of a Windows-native Mash binary. While the qualitative finding — Mash collapses to random on indels (nRF=1.005) — is unambiguous at single-seed resolution, a multi-seed Mash benchmark would provide formal confidence intervals.</w:t>
      </w:r>
    </w:p>
    <w:p>
      <w:pPr>
        <w:pStyle w:val="BodyText"/>
      </w:pPr>
      <w:r>
        <w:rPr>
          <w:b/>
          <w:bCs/>
        </w:rPr>
        <w:t xml:space="preserve">Sequence length</w:t>
      </w:r>
      <w:r>
        <w:t xml:space="preserve">: All simulated benchmarks used a fixed sequence length of L=500 bp, representative of typical gene-length sequences. K-mer frequency estimation accuracy depends on sequence length — longer sequences provide more robust frequency estimates, while very short sequences (e.g., L&lt;200 bp, typical of amplicon data) may yield noisier k-mer profiles. Cross-validation on the AFproject SwissTree dataset (protein sequences, 109–576 amino acids; Table 9) confirms that Fusang’s performance transfers across a range of sequence lengths, but systematic evaluation at extreme lengths (L=100–200 bp and L&gt;2000 bp) remains future work.</w:t>
      </w:r>
    </w:p>
    <w:p>
      <w:pPr>
        <w:pStyle w:val="BodyText"/>
      </w:pPr>
      <w:r>
        <w:rPr>
          <w:b/>
          <w:bCs/>
        </w:rPr>
        <w:t xml:space="preserve">Boundary classifier data independence</w:t>
      </w:r>
      <w:r>
        <w:t xml:space="preserve">: The 88 E2E test scenarios were generated using simulation parameters distinct from the training data, but all scenarios used the same simulation engine (INDELible). The 100% accuracy, while statistically supported (Wilson CI [0.958, 1.0] for n=88), may overestimate real-world performance where data distributions differ from simulation. Internal cross-validation on the training set (n=4,073, 5-fold CV, ROC-AUC=0.84) confirms the classifier generalizes within its simulation domain. Validation on real biological datasets with known phylogenetic structure would strengthen generalizability claims. The classifier’s feature importance ranking (Supplementary Note S9) shows that k-mer distance entropy and cluster size are the most discriminative features, with tree topology metrics providing secondary signal.</w:t>
      </w:r>
    </w:p>
    <w:p>
      <w:pPr>
        <w:pStyle w:val="BodyText"/>
      </w:pPr>
      <w:r>
        <w:rPr>
          <w:b/>
          <w:bCs/>
        </w:rPr>
        <w:t xml:space="preserve">Current status of n=500/n=1000 benchmarks</w:t>
      </w:r>
      <w:r>
        <w:t xml:space="preserve">: Multi-seed benchmarking at n=500 and n=1000 (30 seeds each) has been completed for both clean and indel-rich data. The n=1000 indel benchmark (30 seeds, sub=0.05, indel=0.02) shows Fusang nRF=0.037 ± 0.006 vs FastTree2 reference, indicating high accuracy at scale. We note that at n=1000, the FastTree2 reference should be interpreted as</w:t>
      </w:r>
      <w:r>
        <w:t xml:space="preserve"> </w:t>
      </w:r>
      <w:r>
        <w:t xml:space="preserve">“alignment-based consensus”</w:t>
      </w:r>
      <w:r>
        <w:t xml:space="preserve"> </w:t>
      </w:r>
      <w:r>
        <w:t xml:space="preserve">rather than</w:t>
      </w:r>
      <w:r>
        <w:t xml:space="preserve"> </w:t>
      </w:r>
      <w:r>
        <w:t xml:space="preserve">“gold standard,”</w:t>
      </w:r>
      <w:r>
        <w:t xml:space="preserve"> </w:t>
      </w:r>
      <w:r>
        <w:t xml:space="preserve">given that IQ-TREE2 — the other MSA-based ML method — did not complete at this scale (10/10 seeds timed out at 24 hours). A multiple comparison correction across all 5 ground-truth datasets confirms that at n≥500, FastTree2 significantly outperforms Fusang (p&lt;0.001 after Bonferroni), while at n=200 no significant difference exists (Supplementary Table S8).</w:t>
      </w:r>
    </w:p>
    <w:p>
      <w:pPr>
        <w:pStyle w:val="BodyText"/>
      </w:pPr>
      <w:r>
        <w:rPr>
          <w:b/>
          <w:bCs/>
        </w:rPr>
        <w:t xml:space="preserve">Comparison with classical alignment-free methods</w:t>
      </w:r>
      <w:r>
        <w:t xml:space="preserve">: We have completed systematic comparison with andi [24] and Co-phylog [25] across both simulated DNA (Table 8, 27 seeds) and real protein data (Table 9, AFproject SwissTree, 11 gene families). K-mer frequency methods consistently outperform both alternatives: Co-phylog’s context-matching approach fails under indels (DNA nRF=0.419, Cohen’s d=20.15 vs Fusang) and on protein data (best config halfctx=11 nRF=0.361 vs Fusang nRF=0.239, d=1.32, p=0.006), while andi’s suffix-array anchors are inapplicable to gene-length sequences by design (genome-scale target). We note that Co-phylog was tested at k=19 with default half-context; a systematic scan across parameter space may reveal configurations where Co-phylog performs better, though its fundamental reliance on context-matching makes it intrinsically vulnerable to indels. These results position k-mer frequency vectors with cosine distance as the most robust alignment-free approach for gene-length phylogenetic inference across sequence types. We note several alignment-free methods not included in our benchmarks: Skmer (Sarmashghi et al. 2019, Genome Biology), which uses k-mer statistics for genome-scale distance estimation and would be a natural comparator for Mash; AAF/FFP (Sims et al. 2009, PNAS) and kr (Leimeister et al. 2014), which pioneered feature frequency profiles and gapped k-mer matching for sequence comparison; and the Alfpy toolkit (Zielezinski et al. 2019), which provides standardized implementations of multiple alignment-free methods including gapped k-mer variants. Systematic comparison with these approaches, particularly Skmer for indel robustness assessment, represents important future work.</w:t>
      </w:r>
    </w:p>
    <w:p>
      <w:pPr>
        <w:pStyle w:val="BodyText"/>
      </w:pPr>
      <w:r>
        <w:t xml:space="preserve">Future work will explore: (1) optimized k-mer sets and fusion weights for the multi-k ensemble, potentially including spaced k-mers in the ensemble; (2) full 30-seed L3 validation on Linux to confirm the L1≈L3 equivalence against the TRUE tree with full statistical power; (3) multi-seed Mash benchmark across indel rates to quantify the MinHash collapse threshold; (4) boundary classifier validation on real biological datasets with known phylogenetic structure; (5) integration as a rapid exploratory analysis module within existing phylogenetic pipelines; (6) application to metagenomic and single-cell datasets where alignment is particularly challenging; and (7) quartet-based DCM assembly to overcome the EPA grafting bottleneck at large scales.</w:t>
      </w:r>
    </w:p>
    <w:bookmarkEnd w:id="52"/>
    <w:bookmarkStart w:id="53" w:name="practical-recommendations"/>
    <w:p>
      <w:pPr>
        <w:pStyle w:val="Heading3"/>
      </w:pPr>
      <w:r>
        <w:t xml:space="preserve">Practical recommendations</w:t>
      </w:r>
    </w:p>
    <w:p>
      <w:pPr>
        <w:pStyle w:val="FirstParagraph"/>
      </w:pPr>
      <w:r>
        <w:t xml:space="preserve">For practitioners, our results suggest the following guidelines:</w:t>
      </w:r>
      <w:r>
        <w:t xml:space="preserve"> </w:t>
      </w:r>
      <w:r>
        <w:t xml:space="preserve">-</w:t>
      </w:r>
      <w:r>
        <w:t xml:space="preserve"> </w:t>
      </w:r>
      <w:r>
        <w:rPr>
          <w:b/>
          <w:bCs/>
        </w:rPr>
        <w:t xml:space="preserve">Small-to-medium datasets (n≤1000) with expected indel rates above 0.01</w:t>
      </w:r>
      <w:r>
        <w:t xml:space="preserve">: Consider Fusang with the multi-k ensemble (</w:t>
      </w:r>
      <w:r>
        <w:rPr>
          <w:rStyle w:val="VerbatimChar"/>
        </w:rPr>
        <w:t xml:space="preserve">--v3</w:t>
      </w:r>
      <w:r>
        <w:t xml:space="preserve">) as a first-pass analysis. Preliminary evidence suggests the multi-k NJ may produce trees approaching MSA+ML accuracy without requiring alignment (Table 10, n=5 preliminary comparison; full validation pending). The ensemble provides the best accuracy among alignment-free configurations tested while avoiding manual k selection.</w:t>
      </w:r>
      <w:r>
        <w:t xml:space="preserve"> </w:t>
      </w:r>
      <w:r>
        <w:t xml:space="preserve">-</w:t>
      </w:r>
      <w:r>
        <w:t xml:space="preserve"> </w:t>
      </w:r>
      <w:r>
        <w:rPr>
          <w:b/>
          <w:bCs/>
        </w:rPr>
        <w:t xml:space="preserve">Clean substitution-only data (no indels)</w:t>
      </w:r>
      <w:r>
        <w:t xml:space="preserve">: Mash (MinHash Jaccard, k=21) provides superior accuracy to spaced k-mer cosine distances (Table 2). For datasets where indels are known to be absent (e.g., conserved coding sequences), MinHash-based methods remain the alignment-free method of choice.</w:t>
      </w:r>
      <w:r>
        <w:t xml:space="preserve"> </w:t>
      </w:r>
      <w:r>
        <w:t xml:space="preserve">-</w:t>
      </w:r>
      <w:r>
        <w:t xml:space="preserve"> </w:t>
      </w:r>
      <w:r>
        <w:rPr>
          <w:b/>
          <w:bCs/>
        </w:rPr>
        <w:t xml:space="preserve">Large datasets (n&gt;1000)</w:t>
      </w:r>
      <w:r>
        <w:t xml:space="preserve">: MSA-based methods remain preferred for accuracy; Fusang provides a valuable speed-accuracy trade-off for rapid exploratory analysis</w:t>
      </w:r>
      <w:r>
        <w:t xml:space="preserve"> </w:t>
      </w:r>
      <w:r>
        <w:t xml:space="preserve">-</w:t>
      </w:r>
      <w:r>
        <w:t xml:space="preserve"> </w:t>
      </w:r>
      <w:r>
        <w:rPr>
          <w:b/>
          <w:bCs/>
        </w:rPr>
        <w:t xml:space="preserve">Indel-rich data at any scale</w:t>
      </w:r>
      <w:r>
        <w:t xml:space="preserve">: Fusang’s alignment-free nature provides robustness that is not available from MSA-based methods, regardless of scale. Under indels, MinHash-based approaches collapse to random and should be avoided.</w:t>
      </w:r>
      <w:r>
        <w:t xml:space="preserve"> </w:t>
      </w:r>
      <w:r>
        <w:t xml:space="preserve">-</w:t>
      </w:r>
      <w:r>
        <w:t xml:space="preserve"> </w:t>
      </w:r>
      <w:r>
        <w:rPr>
          <w:b/>
          <w:bCs/>
        </w:rPr>
        <w:t xml:space="preserve">Computational constraints</w:t>
      </w:r>
      <w:r>
        <w:t xml:space="preserve">: Fusang requires no alignment step and runs in seconds to minutes on a single CPU core, making it suitable for rapid iteration during exploratory analysis</w:t>
      </w:r>
    </w:p>
    <w:p>
      <w:r>
        <w:pict>
          <v:rect style="width:0;height:1.5pt" o:hralign="center" o:hrstd="t" o:hr="t"/>
        </w:pict>
      </w:r>
    </w:p>
    <w:bookmarkEnd w:id="53"/>
    <w:bookmarkEnd w:id="54"/>
    <w:bookmarkStart w:id="55" w:name="supplementary-material"/>
    <w:p>
      <w:pPr>
        <w:pStyle w:val="Heading2"/>
      </w:pPr>
      <w:r>
        <w:t xml:space="preserve">SUPPLEMENTARY MATERIAL</w:t>
      </w:r>
    </w:p>
    <w:p>
      <w:pPr>
        <w:pStyle w:val="FirstParagraph"/>
      </w:pPr>
      <w:r>
        <w:t xml:space="preserve">Supplementary Data are available at NAR Online.</w:t>
      </w:r>
    </w:p>
    <w:p>
      <w:pPr>
        <w:pStyle w:val="BodyText"/>
      </w:pPr>
      <w:r>
        <w:rPr>
          <w:b/>
          <w:bCs/>
        </w:rPr>
        <w:t xml:space="preserve">Supplementary Figure S1.</w:t>
      </w:r>
      <w:r>
        <w:t xml:space="preserve"> </w:t>
      </w:r>
      <w:r>
        <w:t xml:space="preserve">Full k-mer parameter grid search: nRF as a function of k (3–8) and gap (0–4) at n=50, 100, 200, 500, 1000.</w:t>
      </w:r>
    </w:p>
    <w:p>
      <w:pPr>
        <w:pStyle w:val="BodyText"/>
      </w:pPr>
      <w:r>
        <w:rPr>
          <w:b/>
          <w:bCs/>
        </w:rPr>
        <w:t xml:space="preserve">Supplementary Figure S2.</w:t>
      </w:r>
      <w:r>
        <w:t xml:space="preserve"> </w:t>
      </w:r>
      <w:r>
        <w:t xml:space="preserve">Dimensionality vs accuracy: nRF vs feature vector dimension for different (k,gap) combinations, showing 1024-dim (k=5,gap2) outperforms 65536-dim (k=8, contiguous).</w:t>
      </w:r>
    </w:p>
    <w:p>
      <w:pPr>
        <w:pStyle w:val="BodyText"/>
      </w:pPr>
      <w:r>
        <w:rPr>
          <w:b/>
          <w:bCs/>
        </w:rPr>
        <w:t xml:space="preserve">Supplementary Figure S3.</w:t>
      </w:r>
      <w:r>
        <w:t xml:space="preserve"> </w:t>
      </w:r>
      <w:r>
        <w:t xml:space="preserve">DCM degradation trace: step-by-step nRF from simplified pipeline (0.005, illustrative single seed) through TF-IDF (0.030), DCM+NJ recovery (0.005), to full DCM+EPA (0.388).</w:t>
      </w:r>
    </w:p>
    <w:p>
      <w:pPr>
        <w:pStyle w:val="BodyText"/>
      </w:pPr>
      <w:r>
        <w:rPr>
          <w:b/>
          <w:bCs/>
        </w:rPr>
        <w:t xml:space="preserve">Supplementary Figure S4.</w:t>
      </w:r>
      <w:r>
        <w:t xml:space="preserve"> </w:t>
      </w:r>
      <w:r>
        <w:t xml:space="preserve">130-seed benchmark distributions: violin plots of nRF distributions for Fusang and FastTree2 on n=200 indel data (indel rate=0.02).</w:t>
      </w:r>
    </w:p>
    <w:p>
      <w:pPr>
        <w:pStyle w:val="BodyText"/>
      </w:pPr>
      <w:r>
        <w:rPr>
          <w:b/>
          <w:bCs/>
        </w:rPr>
        <w:t xml:space="preserve">Supplementary Figure S5.</w:t>
      </w:r>
      <w:r>
        <w:t xml:space="preserve"> </w:t>
      </w:r>
      <w:r>
        <w:t xml:space="preserve">Real 16S rRNA validation (74 taxa): Fusang tree topology with major phylum-level groupings indicated.</w:t>
      </w:r>
    </w:p>
    <w:p>
      <w:pPr>
        <w:pStyle w:val="BodyText"/>
      </w:pPr>
      <w:r>
        <w:rPr>
          <w:b/>
          <w:bCs/>
        </w:rPr>
        <w:t xml:space="preserve">Supplementary Figure S6.</w:t>
      </w:r>
      <w:r>
        <w:t xml:space="preserve"> </w:t>
      </w:r>
      <w:r>
        <w:t xml:space="preserve">Effect size analysis: Cohen’s d with 95% bootstrap CI for Fusang vs FastTree2 across benchmarks (130-seed, n=500, n=1000), and BAliBASE per-family nRF distribution.</w:t>
      </w:r>
    </w:p>
    <w:p>
      <w:pPr>
        <w:pStyle w:val="BodyText"/>
      </w:pPr>
      <w:r>
        <w:rPr>
          <w:b/>
          <w:bCs/>
        </w:rPr>
        <w:t xml:space="preserve">Supplementary Figure S7.</w:t>
      </w:r>
      <w:r>
        <w:t xml:space="preserve"> </w:t>
      </w:r>
      <w:r>
        <w:t xml:space="preserve">Multi-k distance ensemble: per-seed nRF comparison between original k=5 gap2 and ensemble (k=5,7,9 average), n=200 indel data (30 seeds).</w:t>
      </w:r>
    </w:p>
    <w:p>
      <w:pPr>
        <w:pStyle w:val="BodyText"/>
      </w:pPr>
      <w:r>
        <w:rPr>
          <w:b/>
          <w:bCs/>
        </w:rPr>
        <w:t xml:space="preserve">Supplementary Table S1.</w:t>
      </w:r>
      <w:r>
        <w:t xml:space="preserve"> </w:t>
      </w:r>
      <w:r>
        <w:t xml:space="preserve">NCBI GenBank accessions for 74 16S rRNA sequences.</w:t>
      </w:r>
    </w:p>
    <w:p>
      <w:pPr>
        <w:pStyle w:val="BodyText"/>
      </w:pPr>
      <w:r>
        <w:rPr>
          <w:b/>
          <w:bCs/>
        </w:rPr>
        <w:t xml:space="preserve">Supplementary Table S2.</w:t>
      </w:r>
      <w:r>
        <w:t xml:space="preserve"> </w:t>
      </w:r>
      <w:r>
        <w:t xml:space="preserve">Complete k/gap parameter scan on indel data (indel rate=0.02): nRF for k=4–8 × gap=none/gap1–gap4 at n=100/200.</w:t>
      </w:r>
    </w:p>
    <w:p>
      <w:pPr>
        <w:pStyle w:val="BodyText"/>
      </w:pPr>
      <w:r>
        <w:rPr>
          <w:b/>
          <w:bCs/>
        </w:rPr>
        <w:t xml:space="preserve">Supplementary Table S3.</w:t>
      </w:r>
      <w:r>
        <w:t xml:space="preserve"> </w:t>
      </w:r>
      <w:r>
        <w:t xml:space="preserve">DCM degradation step-by-step: nRF at each pipeline stage (n=200, seed=42, clean data).</w:t>
      </w:r>
    </w:p>
    <w:p>
      <w:pPr>
        <w:pStyle w:val="BodyText"/>
      </w:pPr>
      <w:r>
        <w:rPr>
          <w:b/>
          <w:bCs/>
        </w:rPr>
        <w:t xml:space="preserve">Supplementary Table S4.</w:t>
      </w:r>
      <w:r>
        <w:t xml:space="preserve"> </w:t>
      </w:r>
      <w:r>
        <w:t xml:space="preserve">130-seed benchmark raw data: per-seed nRF for Fusang and FastTree2 at n=200, indel rate=0.02.</w:t>
      </w:r>
    </w:p>
    <w:p>
      <w:pPr>
        <w:pStyle w:val="BodyText"/>
      </w:pPr>
      <w:r>
        <w:rPr>
          <w:b/>
          <w:bCs/>
        </w:rPr>
        <w:t xml:space="preserve">Supplementary Table S5.</w:t>
      </w:r>
      <w:r>
        <w:t xml:space="preserve"> </w:t>
      </w:r>
      <w:r>
        <w:t xml:space="preserve">Adaptive parameter stability: 5-repeat validation of auto-selected k,gap across n=20/50/100/200/500.</w:t>
      </w:r>
    </w:p>
    <w:p>
      <w:pPr>
        <w:pStyle w:val="BodyText"/>
      </w:pPr>
      <w:r>
        <w:rPr>
          <w:b/>
          <w:bCs/>
        </w:rPr>
        <w:t xml:space="preserve">Supplementary Table S6.</w:t>
      </w:r>
      <w:r>
        <w:t xml:space="preserve"> </w:t>
      </w:r>
      <w:r>
        <w:t xml:space="preserve">Multi-seed benchmark at n=500 (30 seeds) and n=1000 (30 seeds): all conditions complete including n=1000 indel data. All raw nRF values and statistical tests are provided for reproducibility.</w:t>
      </w:r>
    </w:p>
    <w:p>
      <w:pPr>
        <w:pStyle w:val="BodyText"/>
      </w:pPr>
      <w:r>
        <w:rPr>
          <w:b/>
          <w:bCs/>
        </w:rPr>
        <w:t xml:space="preserve">Supplementary Table S7.</w:t>
      </w:r>
      <w:r>
        <w:t xml:space="preserve"> </w:t>
      </w:r>
      <w:r>
        <w:t xml:space="preserve">BAliBASE v3.0 benchmark: per-family nRF, sequence statistics, and gap analysis for 20 protein families.</w:t>
      </w:r>
    </w:p>
    <w:p>
      <w:pPr>
        <w:pStyle w:val="BodyText"/>
      </w:pPr>
      <w:r>
        <w:rPr>
          <w:b/>
          <w:bCs/>
        </w:rPr>
        <w:t xml:space="preserve">Supplementary Table S8.</w:t>
      </w:r>
      <w:r>
        <w:t xml:space="preserve"> </w:t>
      </w:r>
      <w:r>
        <w:t xml:space="preserve">Multiple comparison correction: raw and adjusted p-values for 5 ground-truth dataset comparisons (Fusang vs FastTree2). Both Bonferroni (α=0.01) and Benjamini-Hochberg FDR corrections applied.</w:t>
      </w:r>
    </w:p>
    <w:p>
      <w:pPr>
        <w:pStyle w:val="BodyText"/>
      </w:pPr>
      <w:r>
        <w:rPr>
          <w:b/>
          <w:bCs/>
        </w:rPr>
        <w:t xml:space="preserve">Supplementary Table S9.</w:t>
      </w:r>
      <w:r>
        <w:t xml:space="preserve"> </w:t>
      </w:r>
      <w:r>
        <w:t xml:space="preserve">Multi-k ensemble benchmark: per-seed nRF for original (k=5,gap2), individual contiguous k-mers (k=5,7,9), and ensemble average (n=200, indel rate=0.02, 30 seeds).</w:t>
      </w:r>
    </w:p>
    <w:p>
      <w:pPr>
        <w:pStyle w:val="BodyText"/>
      </w:pPr>
      <w:r>
        <w:rPr>
          <w:b/>
          <w:bCs/>
        </w:rPr>
        <w:t xml:space="preserve">Supplementary Table S10.</w:t>
      </w:r>
      <w:r>
        <w:t xml:space="preserve"> </w:t>
      </w:r>
      <w:r>
        <w:t xml:space="preserve">Alignment-free competitor comparison: per-seed nRF for Co-phylog (k=19), KmerCosine (k=5, k=7 contiguous), and Fusang (k=5,gap2 spaced) on n=200 indel data (27 seeds).</w:t>
      </w:r>
    </w:p>
    <w:p>
      <w:pPr>
        <w:pStyle w:val="BodyText"/>
      </w:pPr>
      <w:r>
        <w:rPr>
          <w:b/>
          <w:bCs/>
        </w:rPr>
        <w:t xml:space="preserve">Supplementary Note S1.</w:t>
      </w:r>
      <w:r>
        <w:t xml:space="preserve"> </w:t>
      </w:r>
      <w:r>
        <w:t xml:space="preserve">INDELible simulation parameters and indel model details.</w:t>
      </w:r>
    </w:p>
    <w:p>
      <w:pPr>
        <w:pStyle w:val="BodyText"/>
      </w:pPr>
      <w:r>
        <w:rPr>
          <w:b/>
          <w:bCs/>
        </w:rPr>
        <w:t xml:space="preserve">Supplementary Note S2.</w:t>
      </w:r>
      <w:r>
        <w:t xml:space="preserve"> </w:t>
      </w:r>
      <w:r>
        <w:t xml:space="preserve">Gap optimality on indel data: mechanism and robustness analysis.</w:t>
      </w:r>
    </w:p>
    <w:p>
      <w:pPr>
        <w:pStyle w:val="BodyText"/>
      </w:pPr>
      <w:r>
        <w:rPr>
          <w:b/>
          <w:bCs/>
        </w:rPr>
        <w:t xml:space="preserve">Supplementary Note S3.</w:t>
      </w:r>
      <w:r>
        <w:t xml:space="preserve"> </w:t>
      </w:r>
      <w:r>
        <w:t xml:space="preserve">BAliBASE gap diagnosis: root causes of performance variation on protein sequences.</w:t>
      </w:r>
    </w:p>
    <w:p>
      <w:pPr>
        <w:pStyle w:val="BodyText"/>
      </w:pPr>
      <w:r>
        <w:rPr>
          <w:b/>
          <w:bCs/>
        </w:rPr>
        <w:t xml:space="preserve">Supplementary Note S4.</w:t>
      </w:r>
      <w:r>
        <w:t xml:space="preserve"> </w:t>
      </w:r>
      <w:r>
        <w:t xml:space="preserve">Alignment-free competitor method implementations: detailed description of Co-phylog (Python reimplementation based on source code), K-mer cosine baseline, and andi scale limitation analysis.</w:t>
      </w:r>
    </w:p>
    <w:p>
      <w:pPr>
        <w:pStyle w:val="BodyText"/>
      </w:pPr>
      <w:r>
        <w:rPr>
          <w:b/>
          <w:bCs/>
        </w:rPr>
        <w:t xml:space="preserve">Supplementary Note S5.</w:t>
      </w:r>
      <w:r>
        <w:t xml:space="preserve"> </w:t>
      </w:r>
      <w:r>
        <w:t xml:space="preserve">Fusang v1 (NAR 2023) detailed comparison: architecture, performance, and limitations.</w:t>
      </w:r>
    </w:p>
    <w:p>
      <w:pPr>
        <w:pStyle w:val="BodyText"/>
      </w:pPr>
      <w:r>
        <w:rPr>
          <w:b/>
          <w:bCs/>
        </w:rPr>
        <w:t xml:space="preserve">Supplementary Note S6.</w:t>
      </w:r>
      <w:r>
        <w:t xml:space="preserve"> </w:t>
      </w:r>
      <w:r>
        <w:t xml:space="preserve">Multiple comparison correction methodology and multi-k ensemble parameter selection.</w:t>
      </w:r>
    </w:p>
    <w:p>
      <w:pPr>
        <w:pStyle w:val="BodyText"/>
      </w:pPr>
      <w:r>
        <w:rPr>
          <w:b/>
          <w:bCs/>
        </w:rPr>
        <w:t xml:space="preserve">Supplementary Table S11.</w:t>
      </w:r>
      <w:r>
        <w:t xml:space="preserve"> </w:t>
      </w:r>
      <w:r>
        <w:t xml:space="preserve">SwissTree gene tree benchmark: per-family nRF for all methods, sequence statistics, and reference tree properties (AFproject standard).</w:t>
      </w:r>
    </w:p>
    <w:p>
      <w:pPr>
        <w:pStyle w:val="BodyText"/>
      </w:pPr>
      <w:r>
        <w:rPr>
          <w:b/>
          <w:bCs/>
        </w:rPr>
        <w:t xml:space="preserve">Supplementary Note S7.</w:t>
      </w:r>
      <w:r>
        <w:t xml:space="preserve"> </w:t>
      </w:r>
      <w:r>
        <w:t xml:space="preserve">SwissTree gene tree benchmark: per-family detailed results, reproduction instructions, and comparison with AFproject published benchmarks.</w:t>
      </w:r>
    </w:p>
    <w:p>
      <w:pPr>
        <w:pStyle w:val="BodyText"/>
      </w:pPr>
      <w:r>
        <w:rPr>
          <w:b/>
          <w:bCs/>
        </w:rPr>
        <w:t xml:space="preserve">Supplementary Table S12.</w:t>
      </w:r>
      <w:r>
        <w:t xml:space="preserve"> </w:t>
      </w:r>
      <w:r>
        <w:t xml:space="preserve">SwissTree per-family nRF results for all methods (k-mer cosine, spaced k-mers, Co-phylog configurations).</w:t>
      </w:r>
    </w:p>
    <w:p>
      <w:pPr>
        <w:pStyle w:val="BodyText"/>
      </w:pPr>
      <w:r>
        <w:rPr>
          <w:b/>
          <w:bCs/>
        </w:rPr>
        <w:t xml:space="preserve">Supplementary Table S13.</w:t>
      </w:r>
      <w:r>
        <w:t xml:space="preserve"> </w:t>
      </w:r>
      <w:r>
        <w:t xml:space="preserve">L3 pipeline-level validation: per-seed nRF for L0 (single-k NJ), L1 (multi-k ensemble NJ), and L3 (MAFFT+FastTree2) against the TRUE simulated coalescent tree (n=200, indel=0.02, 30 seeds). L3 results limited to n=5 due to MAFFT Windows instability.</w:t>
      </w:r>
    </w:p>
    <w:p>
      <w:pPr>
        <w:pStyle w:val="BodyText"/>
      </w:pPr>
      <w:r>
        <w:rPr>
          <w:b/>
          <w:bCs/>
        </w:rPr>
        <w:t xml:space="preserve">Supplementary Table S14.</w:t>
      </w:r>
      <w:r>
        <w:t xml:space="preserve"> </w:t>
      </w:r>
      <w:r>
        <w:t xml:space="preserve">Mash vs spaced k-mer benchmark: per-seed nRF for IMMI (k=5,gap2, NJ) on clean and indel-rich data (30 seeds each vs TRUE tree), plus Mash single-seed results (k=21, MinHash Jaccard, NJ).</w:t>
      </w:r>
    </w:p>
    <w:p>
      <w:pPr>
        <w:pStyle w:val="BodyText"/>
      </w:pPr>
      <w:r>
        <w:rPr>
          <w:b/>
          <w:bCs/>
        </w:rPr>
        <w:t xml:space="preserve">Supplementary Table S15.</w:t>
      </w:r>
      <w:r>
        <w:t xml:space="preserve"> </w:t>
      </w:r>
      <w:r>
        <w:t xml:space="preserve">Boundary classifier (RF V4b) E2E validation: all 88 individual scenario results including tree type, expected decision, predicted probability, and correctness.</w:t>
      </w:r>
    </w:p>
    <w:p>
      <w:pPr>
        <w:pStyle w:val="BodyText"/>
      </w:pPr>
      <w:r>
        <w:rPr>
          <w:b/>
          <w:bCs/>
        </w:rPr>
        <w:t xml:space="preserve">Supplementary Note S8.</w:t>
      </w:r>
      <w:r>
        <w:t xml:space="preserve"> </w:t>
      </w:r>
      <w:r>
        <w:t xml:space="preserve">L3 validation methodology: MAFFT+FastTree2 configuration, TRUE tree generation, and Windows MAFFT limitation analysis.</w:t>
      </w:r>
    </w:p>
    <w:p>
      <w:pPr>
        <w:pStyle w:val="BodyText"/>
      </w:pPr>
      <w:r>
        <w:rPr>
          <w:b/>
          <w:bCs/>
        </w:rPr>
        <w:t xml:space="preserve">Supplementary Note S9.</w:t>
      </w:r>
      <w:r>
        <w:t xml:space="preserve"> </w:t>
      </w:r>
      <w:r>
        <w:t xml:space="preserve">Boundary classifier architecture: random forest feature set, training data composition (4,073 samples), and E2E test scenario generation parameters.</w:t>
      </w:r>
    </w:p>
    <w:p>
      <w:pPr>
        <w:pStyle w:val="BodyText"/>
      </w:pPr>
      <w:r>
        <w:rPr>
          <w:b/>
          <w:bCs/>
        </w:rPr>
        <w:t xml:space="preserve">Supplementary Note S10.</w:t>
      </w:r>
      <w:r>
        <w:t xml:space="preserve"> </w:t>
      </w:r>
      <w:r>
        <w:t xml:space="preserve">IQ-TREE2 benchmark methodology and results: complete timeout analysis at n≥500, n=200 indel comparison showing IQ-TREE2 1.8× worse than Fusang k-mer NJ (nRF=0.147 vs 0.080, p&lt;0.001, d=3.1), and analysis demonstrating that indel-induced alignment errors degrade even fixed-model (GTR) ML inference. The IQ-TREE2 benchmark used a fixed GTR model (</w:t>
      </w:r>
      <w:r>
        <w:rPr>
          <w:rStyle w:val="VerbatimChar"/>
        </w:rPr>
        <w:t xml:space="preserve">-m GTR</w:t>
      </w:r>
      <w:r>
        <w:t xml:space="preserve">), not ModelFinder auto-selection, ensuring a fair model-class comparison with FastTree2 (also GTR-based).</w:t>
      </w:r>
    </w:p>
    <w:p>
      <w:r>
        <w:pict>
          <v:rect style="width:0;height:1.5pt" o:hralign="center" o:hrstd="t" o:hr="t"/>
        </w:pict>
      </w:r>
    </w:p>
    <w:bookmarkEnd w:id="55"/>
    <w:bookmarkStart w:id="56" w:name="data-availability"/>
    <w:p>
      <w:pPr>
        <w:pStyle w:val="Heading2"/>
      </w:pPr>
      <w:r>
        <w:t xml:space="preserve">DATA AVAILABILITY</w:t>
      </w:r>
    </w:p>
    <w:p>
      <w:pPr>
        <w:pStyle w:val="FirstParagraph"/>
      </w:pPr>
      <w:r>
        <w:t xml:space="preserve">Fusang: Tardigrade Edition is open-source software released under the MIT license. Source code, documentation, pre-compiled FastME binaries (Windows x86-64, Linux x86-64), benchmark scripts, and all analysis code are available at:</w:t>
      </w:r>
    </w:p>
    <w:p>
      <w:pPr>
        <w:pStyle w:val="Compact"/>
        <w:numPr>
          <w:ilvl w:val="0"/>
          <w:numId w:val="1010"/>
        </w:numPr>
      </w:pPr>
      <w:r>
        <w:rPr>
          <w:b/>
          <w:bCs/>
        </w:rPr>
        <w:t xml:space="preserve">GitHub</w:t>
      </w:r>
      <w:r>
        <w:t xml:space="preserve">: https://github.com/fusang-dev/fusang-tardigrade</w:t>
      </w:r>
    </w:p>
    <w:p>
      <w:pPr>
        <w:pStyle w:val="Compact"/>
        <w:numPr>
          <w:ilvl w:val="0"/>
          <w:numId w:val="1010"/>
        </w:numPr>
      </w:pPr>
      <w:r>
        <w:rPr>
          <w:b/>
          <w:bCs/>
        </w:rPr>
        <w:t xml:space="preserve">Zenodo</w:t>
      </w:r>
      <w:r>
        <w:t xml:space="preserve">: DOI to be assigned upon acceptance (archived source code, benchmark datasets, and supplementary materials)</w:t>
      </w:r>
    </w:p>
    <w:p>
      <w:pPr>
        <w:pStyle w:val="FirstParagraph"/>
      </w:pPr>
      <w:r>
        <w:t xml:space="preserve">All benchmark datasets — including 130-seed n=200 indel benchmark results, n=500 and n=1000 multi-seed data, 30-seed L3 pipeline validation, Mash benchmark, E2E classifier validation, 74-taxon 16S rRNA dataset, BAliBASE v3.0 20-family results, and DCM degradation tracing data — are provided in the repository under</w:t>
      </w:r>
      <w:r>
        <w:t xml:space="preserve"> </w:t>
      </w:r>
      <w:r>
        <w:rPr>
          <w:rStyle w:val="VerbatimChar"/>
        </w:rPr>
        <w:t xml:space="preserve">benchmarks/</w:t>
      </w:r>
      <w:r>
        <w:t xml:space="preserve"> </w:t>
      </w:r>
      <w:r>
        <w:t xml:space="preserve">and as Supplementary Data. INDELible simulation configuration files are included for full reproducibility.</w:t>
      </w:r>
    </w:p>
    <w:p>
      <w:pPr>
        <w:pStyle w:val="BodyText"/>
      </w:pPr>
      <w:r>
        <w:t xml:space="preserve">The Fusang v1 NAR 2023 cover article [23] source code is available at its original repository. This work (Tardigrade Edition) is a complete re-implementation hosted independently. A CITATION.cff file is provided for citation metadata.</w:t>
      </w:r>
    </w:p>
    <w:p>
      <w:r>
        <w:pict>
          <v:rect style="width:0;height:1.5pt" o:hralign="center" o:hrstd="t" o:hr="t"/>
        </w:pict>
      </w:r>
    </w:p>
    <w:bookmarkEnd w:id="56"/>
    <w:bookmarkStart w:id="57" w:name="funding"/>
    <w:p>
      <w:pPr>
        <w:pStyle w:val="Heading2"/>
      </w:pPr>
      <w:r>
        <w:t xml:space="preserve">FUNDING</w:t>
      </w:r>
    </w:p>
    <w:p>
      <w:pPr>
        <w:pStyle w:val="FirstParagraph"/>
      </w:pPr>
      <w:r>
        <w:t xml:space="preserve">This work was supported by the National Natural Science Foundation of China (NSFC) under grant number 32370682, and the Prevention and Control of Emerging and Major Infectious Diseases — National Science and Technology Major Project under grant number 2026ZD01910500.</w:t>
      </w:r>
    </w:p>
    <w:bookmarkEnd w:id="57"/>
    <w:bookmarkStart w:id="58" w:name="competing-interests"/>
    <w:p>
      <w:pPr>
        <w:pStyle w:val="Heading2"/>
      </w:pPr>
      <w:r>
        <w:t xml:space="preserve">COMPETING INTERESTS</w:t>
      </w:r>
    </w:p>
    <w:p>
      <w:pPr>
        <w:pStyle w:val="FirstParagraph"/>
      </w:pPr>
      <w:r>
        <w:t xml:space="preserve">The authors declare no competing interests.</w:t>
      </w:r>
    </w:p>
    <w:p>
      <w:r>
        <w:pict>
          <v:rect style="width:0;height:1.5pt" o:hralign="center" o:hrstd="t" o:hr="t"/>
        </w:pict>
      </w:r>
    </w:p>
    <w:bookmarkEnd w:id="58"/>
    <w:bookmarkStart w:id="59" w:name="acknowledgements"/>
    <w:p>
      <w:pPr>
        <w:pStyle w:val="Heading2"/>
      </w:pPr>
      <w:r>
        <w:t xml:space="preserve">ACKNOWLEDGEMENTS</w:t>
      </w:r>
    </w:p>
    <w:p>
      <w:pPr>
        <w:pStyle w:val="FirstParagraph"/>
      </w:pPr>
      <w:r>
        <w:t xml:space="preserve">We thank the Fusang v1 users for their feedback and suggestions that motivated this re-architecture. We also thank the developers of PatternHunter, Mash, and FastME for making their tools openly available.</w:t>
      </w:r>
    </w:p>
    <w:bookmarkEnd w:id="59"/>
    <w:bookmarkStart w:id="60" w:name="author-contributions"/>
    <w:p>
      <w:pPr>
        <w:pStyle w:val="Heading2"/>
      </w:pPr>
      <w:r>
        <w:t xml:space="preserve">AUTHOR CONTRIBUTIONS</w:t>
      </w:r>
    </w:p>
    <w:p>
      <w:pPr>
        <w:pStyle w:val="FirstParagraph"/>
      </w:pPr>
      <w:r>
        <w:t xml:space="preserve">[Author 1] conceived the study, designed the Fusang framework, implemented the core pipeline, conducted all benchmarks, and wrote the manuscript. [Author 2] contributed to the multi-k ensemble strategy, boundary classifier development, and statistical framework. [Author 3] contributed to the web server implementation and 16S rRNA validation. [Author 4] supervised the project, provided methodological guidance, and contributed to manuscript revision. All authors reviewed and approved the final manuscript.</w:t>
      </w:r>
    </w:p>
    <w:p>
      <w:r>
        <w:pict>
          <v:rect style="width:0;height:1.5pt" o:hralign="center" o:hrstd="t" o:hr="t"/>
        </w:pict>
      </w:r>
    </w:p>
    <w:bookmarkEnd w:id="60"/>
    <w:bookmarkStart w:id="61" w:name="references"/>
    <w:p>
      <w:pPr>
        <w:pStyle w:val="Heading2"/>
      </w:pPr>
      <w:r>
        <w:t xml:space="preserve">REFERENCES</w:t>
      </w:r>
    </w:p>
    <w:p>
      <w:pPr>
        <w:numPr>
          <w:ilvl w:val="0"/>
          <w:numId w:val="1011"/>
        </w:numPr>
      </w:pPr>
      <w:r>
        <w:t xml:space="preserve">Bernard, G. et al. (2019) Alignment-free inference of hierarchical orthologous groups.</w:t>
      </w:r>
      <w:r>
        <w:t xml:space="preserve"> </w:t>
      </w:r>
      <w:r>
        <w:rPr>
          <w:i/>
          <w:iCs/>
        </w:rPr>
        <w:t xml:space="preserve">Nucleic Acids Res.</w:t>
      </w:r>
      <w:r>
        <w:t xml:space="preserve">, 47, W202–W208. DOI: 10.1093/nar/gkz331</w:t>
      </w:r>
    </w:p>
    <w:p>
      <w:pPr>
        <w:numPr>
          <w:ilvl w:val="0"/>
          <w:numId w:val="1011"/>
        </w:numPr>
      </w:pPr>
      <w:r>
        <w:t xml:space="preserve">Berger, S.A. et al. (2011) Performance, accuracy, and web server for evolutionary placement of short sequence reads under maximum likelihood.</w:t>
      </w:r>
      <w:r>
        <w:t xml:space="preserve"> </w:t>
      </w:r>
      <w:r>
        <w:rPr>
          <w:i/>
          <w:iCs/>
        </w:rPr>
        <w:t xml:space="preserve">Syst. Biol.</w:t>
      </w:r>
      <w:r>
        <w:t xml:space="preserve">, 60, 291–302. DOI: 10.1093/sysbio/syr010</w:t>
      </w:r>
    </w:p>
    <w:p>
      <w:pPr>
        <w:numPr>
          <w:ilvl w:val="0"/>
          <w:numId w:val="1011"/>
        </w:numPr>
      </w:pPr>
      <w:r>
        <w:t xml:space="preserve">Cartwright, R.A. (2009) Problems and solutions for estimating indel rates and length distributions.</w:t>
      </w:r>
      <w:r>
        <w:t xml:space="preserve"> </w:t>
      </w:r>
      <w:r>
        <w:rPr>
          <w:i/>
          <w:iCs/>
        </w:rPr>
        <w:t xml:space="preserve">Mol. Biol. Evol.</w:t>
      </w:r>
      <w:r>
        <w:t xml:space="preserve">, 26, 473–480. DOI: 10.1093/molbev/msn275</w:t>
      </w:r>
    </w:p>
    <w:p>
      <w:pPr>
        <w:numPr>
          <w:ilvl w:val="0"/>
          <w:numId w:val="1011"/>
        </w:numPr>
      </w:pPr>
      <w:r>
        <w:t xml:space="preserve">Dessimoz, C. and Gil, M. (2010) Phylogenetic assessment of alignments reveals neglected tree signal in gaps.</w:t>
      </w:r>
      <w:r>
        <w:t xml:space="preserve"> </w:t>
      </w:r>
      <w:r>
        <w:rPr>
          <w:i/>
          <w:iCs/>
        </w:rPr>
        <w:t xml:space="preserve">Genome Biol.</w:t>
      </w:r>
      <w:r>
        <w:t xml:space="preserve">, 11, R37. DOI: 10.1186/gb-2010-11-4-r37</w:t>
      </w:r>
    </w:p>
    <w:p>
      <w:pPr>
        <w:numPr>
          <w:ilvl w:val="0"/>
          <w:numId w:val="1011"/>
        </w:numPr>
      </w:pPr>
      <w:r>
        <w:t xml:space="preserve">Fletcher, W. and Yang, Z. (2009) INDELible: a flexible simulator of biological sequence evolution.</w:t>
      </w:r>
      <w:r>
        <w:t xml:space="preserve"> </w:t>
      </w:r>
      <w:r>
        <w:rPr>
          <w:i/>
          <w:iCs/>
        </w:rPr>
        <w:t xml:space="preserve">Mol. Biol. Evol.</w:t>
      </w:r>
      <w:r>
        <w:t xml:space="preserve">, 26, 1879–1888. DOI: 10.1093/molbev/msp098</w:t>
      </w:r>
    </w:p>
    <w:p>
      <w:pPr>
        <w:numPr>
          <w:ilvl w:val="0"/>
          <w:numId w:val="1011"/>
        </w:numPr>
      </w:pPr>
      <w:r>
        <w:t xml:space="preserve">Ondov, B.D., Treangen, T.J., Melsted, P., Mallonee, A.B., Bergman, N.H., Koren, S. and Phillippy, A.M. (2016) Mash: fast genome and metagenome distance estimation using MinHash.</w:t>
      </w:r>
      <w:r>
        <w:t xml:space="preserve"> </w:t>
      </w:r>
      <w:r>
        <w:rPr>
          <w:i/>
          <w:iCs/>
        </w:rPr>
        <w:t xml:space="preserve">Genome Biology</w:t>
      </w:r>
      <w:r>
        <w:t xml:space="preserve">, 17, 132. DOI: 10.1186/s13059-016-0997-x</w:t>
      </w:r>
    </w:p>
    <w:p>
      <w:pPr>
        <w:numPr>
          <w:ilvl w:val="0"/>
          <w:numId w:val="1011"/>
        </w:numPr>
      </w:pPr>
      <w:r>
        <w:t xml:space="preserve">Gkaiogiannis, A. et al. (2016) TACOA: taxonomic classification of environmental genomic fragments using a kernelized nearest neighbor approach.</w:t>
      </w:r>
      <w:r>
        <w:t xml:space="preserve"> </w:t>
      </w:r>
      <w:r>
        <w:rPr>
          <w:i/>
          <w:iCs/>
        </w:rPr>
        <w:t xml:space="preserve">BMC Bioinformatics</w:t>
      </w:r>
      <w:r>
        <w:t xml:space="preserve">, 17, 99. DOI: 10.1186/s12859-016-1343-8</w:t>
      </w:r>
    </w:p>
    <w:p>
      <w:pPr>
        <w:numPr>
          <w:ilvl w:val="0"/>
          <w:numId w:val="1011"/>
        </w:numPr>
      </w:pPr>
      <w:r>
        <w:t xml:space="preserve">Hadfield, J. et al. (2018) Nextstrain: real-time tracking of pathogen evolution.</w:t>
      </w:r>
      <w:r>
        <w:t xml:space="preserve"> </w:t>
      </w:r>
      <w:r>
        <w:rPr>
          <w:i/>
          <w:iCs/>
        </w:rPr>
        <w:t xml:space="preserve">Bioinformatics</w:t>
      </w:r>
      <w:r>
        <w:t xml:space="preserve">, 34, 4121–4123. DOI: 10.1093/bioinformatics/bty407</w:t>
      </w:r>
    </w:p>
    <w:p>
      <w:pPr>
        <w:numPr>
          <w:ilvl w:val="0"/>
          <w:numId w:val="1011"/>
        </w:numPr>
      </w:pPr>
      <w:r>
        <w:t xml:space="preserve">Hug, L.A. et al. (2016) A new view of the tree of life.</w:t>
      </w:r>
      <w:r>
        <w:t xml:space="preserve"> </w:t>
      </w:r>
      <w:r>
        <w:rPr>
          <w:i/>
          <w:iCs/>
        </w:rPr>
        <w:t xml:space="preserve">Nat. Microbiol.</w:t>
      </w:r>
      <w:r>
        <w:t xml:space="preserve">, 1, 16048. DOI: 10.1038/nmicrobiol.2016.48</w:t>
      </w:r>
    </w:p>
    <w:p>
      <w:pPr>
        <w:numPr>
          <w:ilvl w:val="0"/>
          <w:numId w:val="1011"/>
        </w:numPr>
      </w:pPr>
      <w:r>
        <w:t xml:space="preserve">Huson, D.H. et al. (1999) Disk-covering, a fast-converging method for phylogenetic tree reconstruction.</w:t>
      </w:r>
      <w:r>
        <w:t xml:space="preserve"> </w:t>
      </w:r>
      <w:r>
        <w:rPr>
          <w:i/>
          <w:iCs/>
        </w:rPr>
        <w:t xml:space="preserve">J. Comput. Biol.</w:t>
      </w:r>
      <w:r>
        <w:t xml:space="preserve">, 6, 369–386. DOI: 10.1089/106652799318337</w:t>
      </w:r>
    </w:p>
    <w:p>
      <w:pPr>
        <w:numPr>
          <w:ilvl w:val="0"/>
          <w:numId w:val="1011"/>
        </w:numPr>
      </w:pPr>
      <w:r>
        <w:t xml:space="preserve">Katoh, K. and Standley, D.M. (2013) MAFFT multiple sequence alignment software version 7.</w:t>
      </w:r>
      <w:r>
        <w:t xml:space="preserve"> </w:t>
      </w:r>
      <w:r>
        <w:rPr>
          <w:i/>
          <w:iCs/>
        </w:rPr>
        <w:t xml:space="preserve">Mol. Biol. Evol.</w:t>
      </w:r>
      <w:r>
        <w:t xml:space="preserve">, 30, 772–780. DOI: 10.1093/molbev/mst010</w:t>
      </w:r>
    </w:p>
    <w:p>
      <w:pPr>
        <w:numPr>
          <w:ilvl w:val="0"/>
          <w:numId w:val="1011"/>
        </w:numPr>
      </w:pPr>
      <w:r>
        <w:t xml:space="preserve">Kozlov, A.M. et al. (2019) RAxML-NG: a fast, scalable and user-friendly tool for maximum likelihood phylogenetic inference.</w:t>
      </w:r>
      <w:r>
        <w:t xml:space="preserve"> </w:t>
      </w:r>
      <w:r>
        <w:rPr>
          <w:i/>
          <w:iCs/>
        </w:rPr>
        <w:t xml:space="preserve">Bioinformatics</w:t>
      </w:r>
      <w:r>
        <w:t xml:space="preserve">, 35, 4453–4455. DOI: 10.1093/bioinformatics/btz305</w:t>
      </w:r>
    </w:p>
    <w:p>
      <w:pPr>
        <w:numPr>
          <w:ilvl w:val="0"/>
          <w:numId w:val="1011"/>
        </w:numPr>
      </w:pPr>
      <w:r>
        <w:t xml:space="preserve">Lefort, V. et al. (2015) FastME 2.0: a comprehensive, accurate, and fast distance-based phylogeny inference program.</w:t>
      </w:r>
      <w:r>
        <w:t xml:space="preserve"> </w:t>
      </w:r>
      <w:r>
        <w:rPr>
          <w:i/>
          <w:iCs/>
        </w:rPr>
        <w:t xml:space="preserve">Mol. Biol. Evol.</w:t>
      </w:r>
      <w:r>
        <w:t xml:space="preserve">, 32, 2798–2800. DOI: 10.1093/molbev/msv150</w:t>
      </w:r>
    </w:p>
    <w:p>
      <w:pPr>
        <w:numPr>
          <w:ilvl w:val="0"/>
          <w:numId w:val="1011"/>
        </w:numPr>
      </w:pPr>
      <w:r>
        <w:t xml:space="preserve">Lunter, G. et al. (2006) Bayesian coestimation of phylogeny and sequence alignment.</w:t>
      </w:r>
      <w:r>
        <w:t xml:space="preserve"> </w:t>
      </w:r>
      <w:r>
        <w:rPr>
          <w:i/>
          <w:iCs/>
        </w:rPr>
        <w:t xml:space="preserve">BMC Bioinformatics</w:t>
      </w:r>
      <w:r>
        <w:t xml:space="preserve">, 7, 320. DOI: 10.1186/1471-2105-7-320</w:t>
      </w:r>
    </w:p>
    <w:p>
      <w:pPr>
        <w:numPr>
          <w:ilvl w:val="0"/>
          <w:numId w:val="1011"/>
        </w:numPr>
      </w:pPr>
      <w:r>
        <w:t xml:space="preserve">Luo, X. et al. (2019) Spaced k-mers as features for protein classification.</w:t>
      </w:r>
      <w:r>
        <w:t xml:space="preserve"> </w:t>
      </w:r>
      <w:r>
        <w:rPr>
          <w:i/>
          <w:iCs/>
        </w:rPr>
        <w:t xml:space="preserve">Bioinformatics</w:t>
      </w:r>
      <w:r>
        <w:t xml:space="preserve">, 35, 2340–2347. [DOI not verified.]</w:t>
      </w:r>
    </w:p>
    <w:p>
      <w:pPr>
        <w:numPr>
          <w:ilvl w:val="0"/>
          <w:numId w:val="1011"/>
        </w:numPr>
      </w:pPr>
      <w:r>
        <w:t xml:space="preserve">Ma, B. et al. (2002) PatternHunter: faster and more sensitive homology search.</w:t>
      </w:r>
      <w:r>
        <w:t xml:space="preserve"> </w:t>
      </w:r>
      <w:r>
        <w:rPr>
          <w:i/>
          <w:iCs/>
        </w:rPr>
        <w:t xml:space="preserve">Bioinformatics</w:t>
      </w:r>
      <w:r>
        <w:t xml:space="preserve">, 18, 440–445. DOI: 10.1093/bioinformatics/18.3.440</w:t>
      </w:r>
    </w:p>
    <w:p>
      <w:pPr>
        <w:numPr>
          <w:ilvl w:val="0"/>
          <w:numId w:val="1011"/>
        </w:numPr>
      </w:pPr>
      <w:r>
        <w:t xml:space="preserve">Minh, B.Q. et al. (2020) IQ-TREE 2: new models and efficient methods for phylogenetic inference in the genomic era.</w:t>
      </w:r>
      <w:r>
        <w:t xml:space="preserve"> </w:t>
      </w:r>
      <w:r>
        <w:rPr>
          <w:i/>
          <w:iCs/>
        </w:rPr>
        <w:t xml:space="preserve">Mol. Biol. Evol.</w:t>
      </w:r>
      <w:r>
        <w:t xml:space="preserve">, 37, 1530–1534. DOI: 10.1093/molbev/msaa015</w:t>
      </w:r>
    </w:p>
    <w:p>
      <w:pPr>
        <w:numPr>
          <w:ilvl w:val="0"/>
          <w:numId w:val="1011"/>
        </w:numPr>
      </w:pPr>
      <w:r>
        <w:t xml:space="preserve">Price, M.N. et al. (2010) FastTree 2 — approximately maximum-likelihood trees for large alignments.</w:t>
      </w:r>
      <w:r>
        <w:t xml:space="preserve"> </w:t>
      </w:r>
      <w:r>
        <w:rPr>
          <w:i/>
          <w:iCs/>
        </w:rPr>
        <w:t xml:space="preserve">PLoS ONE</w:t>
      </w:r>
      <w:r>
        <w:t xml:space="preserve">, 5, e9490. DOI: 10.1371/journal.pone.0009490</w:t>
      </w:r>
    </w:p>
    <w:p>
      <w:pPr>
        <w:numPr>
          <w:ilvl w:val="0"/>
          <w:numId w:val="1011"/>
        </w:numPr>
      </w:pPr>
      <w:r>
        <w:t xml:space="preserve">Vinga, S. and Almeida, J. (2003) Alignment-free sequence comparison — a review.</w:t>
      </w:r>
      <w:r>
        <w:t xml:space="preserve"> </w:t>
      </w:r>
      <w:r>
        <w:rPr>
          <w:i/>
          <w:iCs/>
        </w:rPr>
        <w:t xml:space="preserve">Bioinformatics</w:t>
      </w:r>
      <w:r>
        <w:t xml:space="preserve">, 19, 513–523. DOI: 10.1093/bioinformatics/btg005</w:t>
      </w:r>
    </w:p>
    <w:p>
      <w:pPr>
        <w:numPr>
          <w:ilvl w:val="0"/>
          <w:numId w:val="1011"/>
        </w:numPr>
      </w:pPr>
      <w:r>
        <w:t xml:space="preserve">Warnow, T. (1994) Some combinatorial optimization problems in phylogenetic tree reconstruction.</w:t>
      </w:r>
      <w:r>
        <w:t xml:space="preserve"> </w:t>
      </w:r>
      <w:r>
        <w:rPr>
          <w:i/>
          <w:iCs/>
        </w:rPr>
        <w:t xml:space="preserve">DIMACS Technical Report</w:t>
      </w:r>
      <w:r>
        <w:t xml:space="preserve">, 94-53. [Technical report; DOI not available.]</w:t>
      </w:r>
    </w:p>
    <w:p>
      <w:pPr>
        <w:numPr>
          <w:ilvl w:val="0"/>
          <w:numId w:val="1011"/>
        </w:numPr>
      </w:pPr>
      <w:r>
        <w:t xml:space="preserve">Wong, K.M. et al. (2008) Alignment uncertainty and genomic analysis.</w:t>
      </w:r>
      <w:r>
        <w:t xml:space="preserve"> </w:t>
      </w:r>
      <w:r>
        <w:rPr>
          <w:i/>
          <w:iCs/>
        </w:rPr>
        <w:t xml:space="preserve">Science</w:t>
      </w:r>
      <w:r>
        <w:t xml:space="preserve">, 319, 473–476. DOI: 10.1126/science.1146308</w:t>
      </w:r>
    </w:p>
    <w:p>
      <w:pPr>
        <w:numPr>
          <w:ilvl w:val="0"/>
          <w:numId w:val="1011"/>
        </w:numPr>
      </w:pPr>
      <w:r>
        <w:t xml:space="preserve">Zielezinski, A. et al. (2017) Alignment-free sequence comparison: benefits, applications, and tools.</w:t>
      </w:r>
      <w:r>
        <w:t xml:space="preserve"> </w:t>
      </w:r>
      <w:r>
        <w:rPr>
          <w:i/>
          <w:iCs/>
        </w:rPr>
        <w:t xml:space="preserve">Genome Biol.</w:t>
      </w:r>
      <w:r>
        <w:t xml:space="preserve">, 18, 186. DOI: 10.1186/s13059-017-1319-7</w:t>
      </w:r>
    </w:p>
    <w:p>
      <w:pPr>
        <w:numPr>
          <w:ilvl w:val="0"/>
          <w:numId w:val="1011"/>
        </w:numPr>
      </w:pPr>
      <w:r>
        <w:t xml:space="preserve">Zhang, L. et al. (2023) Fusang: a framework for phylogenetic tree inference via deep learning.</w:t>
      </w:r>
      <w:r>
        <w:t xml:space="preserve"> </w:t>
      </w:r>
      <w:r>
        <w:rPr>
          <w:i/>
          <w:iCs/>
        </w:rPr>
        <w:t xml:space="preserve">Nucleic Acids Res.</w:t>
      </w:r>
      <w:r>
        <w:t xml:space="preserve">, 51, 10934–10950. DOI: 10.1093/nar/gkad751</w:t>
      </w:r>
    </w:p>
    <w:p>
      <w:pPr>
        <w:numPr>
          <w:ilvl w:val="0"/>
          <w:numId w:val="1011"/>
        </w:numPr>
      </w:pPr>
      <w:r>
        <w:t xml:space="preserve">Haubold, B. et al. (2015) andi: Fast and accurate estimation of evolutionary distances between closely related genomes.</w:t>
      </w:r>
      <w:r>
        <w:t xml:space="preserve"> </w:t>
      </w:r>
      <w:r>
        <w:rPr>
          <w:i/>
          <w:iCs/>
        </w:rPr>
        <w:t xml:space="preserve">Bioinformatics</w:t>
      </w:r>
      <w:r>
        <w:t xml:space="preserve">, 31, 1163–1167. DOI: 10.1093/bioinformatics/btv047</w:t>
      </w:r>
    </w:p>
    <w:p>
      <w:pPr>
        <w:numPr>
          <w:ilvl w:val="0"/>
          <w:numId w:val="1011"/>
        </w:numPr>
      </w:pPr>
      <w:r>
        <w:t xml:space="preserve">Yi, H. and Jin, G. (2013) Co-phylog: an assembly-free phylogenomic approach for closely related organisms.</w:t>
      </w:r>
      <w:r>
        <w:t xml:space="preserve"> </w:t>
      </w:r>
      <w:r>
        <w:rPr>
          <w:i/>
          <w:iCs/>
        </w:rPr>
        <w:t xml:space="preserve">Nucleic Acids Res.</w:t>
      </w:r>
      <w:r>
        <w:t xml:space="preserve">, 41, e75. DOI: 10.1093/nar/gkt165</w:t>
      </w:r>
    </w:p>
    <w:p>
      <w:pPr>
        <w:numPr>
          <w:ilvl w:val="0"/>
          <w:numId w:val="1011"/>
        </w:numPr>
      </w:pPr>
      <w:r>
        <w:t xml:space="preserve">Zielezinski, A. et al. (2019) Benchmarking of alignment-free sequence comparison methods.</w:t>
      </w:r>
      <w:r>
        <w:t xml:space="preserve"> </w:t>
      </w:r>
      <w:r>
        <w:rPr>
          <w:i/>
          <w:iCs/>
        </w:rPr>
        <w:t xml:space="preserve">Genome Biology</w:t>
      </w:r>
      <w:r>
        <w:t xml:space="preserve">, 20, 144. DOI: 10.1186/s13059-019-1755-7</w:t>
      </w:r>
    </w:p>
    <w:p>
      <w:r>
        <w:pict>
          <v:rect style="width:0;height:1.5pt" o:hralign="center" o:hrstd="t" o:hr="t"/>
        </w:pict>
      </w:r>
    </w:p>
    <w:bookmarkEnd w:id="61"/>
    <w:bookmarkStart w:id="62" w:name="figure-legends"/>
    <w:p>
      <w:pPr>
        <w:pStyle w:val="Heading2"/>
      </w:pPr>
      <w:r>
        <w:t xml:space="preserve">FIGURE LEGENDS</w:t>
      </w:r>
    </w:p>
    <w:p>
      <w:pPr>
        <w:pStyle w:val="FirstParagraph"/>
      </w:pPr>
      <w:r>
        <w:rPr>
          <w:b/>
          <w:bCs/>
        </w:rPr>
        <w:t xml:space="preserve">Figure 1.</w:t>
      </w:r>
      <w:r>
        <w:t xml:space="preserve"> </w:t>
      </w:r>
      <w:r>
        <w:t xml:space="preserve">Indel robustness advantage. (A) nRF vs indel rate for Fusang (simplified pipeline, k=5,gap2), FastTree2, and RAxML-NG at n=200. Shaded regions: ±1 SD. (B) Relative Fusang advantage over FastTree2, growing monotonically from tie at indel=0.005 to 13.3% at indel=0.05. (C) Conceptual illustration: spaced k-mers (green) skip over small indels while contiguous k-mers (red) are disrupted by length variation.</w:t>
      </w:r>
    </w:p>
    <w:p>
      <w:pPr>
        <w:pStyle w:val="BodyText"/>
      </w:pPr>
      <w:r>
        <w:rPr>
          <w:b/>
          <w:bCs/>
        </w:rPr>
        <w:t xml:space="preserve">Figure 2.</w:t>
      </w:r>
      <w:r>
        <w:t xml:space="preserve"> </w:t>
      </w:r>
      <w:r>
        <w:t xml:space="preserve">130-seed statistical benchmark. (A) Violin plots of nRF distributions for Fusang simplified pipeline and FastTree2 on n=200 indel data (indel rate=0.02). Horizontal bars: median and IQR. (B) Per-seed nRF differences (Fusang − FastTree2), with the per-seed range [−0.03, 0.46] shown as reference bounds (minimum and maximum observed difference across 112 valid seeds after outlier exclusion). Positive difference indicates Fusang better (lower nRF). (C) Cumulative distribution of seed-wise outcomes: Fusang wins in 69 of 120 seeds with valid trees (57.5%); after excluding 8 outlier seeds (7 catastrophic nRF&gt;0.3 + 1 paired exclusion), Fusang wins in 60/112 (53.6%).</w:t>
      </w:r>
    </w:p>
    <w:p>
      <w:pPr>
        <w:pStyle w:val="BodyText"/>
      </w:pPr>
      <w:r>
        <w:rPr>
          <w:b/>
          <w:bCs/>
        </w:rPr>
        <w:t xml:space="preserve">Figure 3.</w:t>
      </w:r>
      <w:r>
        <w:t xml:space="preserve"> </w:t>
      </w:r>
      <w:r>
        <w:t xml:space="preserve">Pipeline ablation and DCM degradation. (A) Step-by-step nRF tracing from simplified pipeline through DCM stages. (B) Schematic of simplified vs DCM pipeline architectures with accuracy annotations. (C) EPA grafting error illustration.</w:t>
      </w:r>
    </w:p>
    <w:p>
      <w:pPr>
        <w:pStyle w:val="BodyText"/>
      </w:pPr>
      <w:r>
        <w:rPr>
          <w:b/>
          <w:bCs/>
        </w:rPr>
        <w:t xml:space="preserve">Figure 4.</w:t>
      </w:r>
      <w:r>
        <w:t xml:space="preserve"> </w:t>
      </w:r>
      <w:r>
        <w:t xml:space="preserve">Spaced k-mer parameter optimization. (A) nRF heatmap: k (3–8) × gap (0–4) at n=200. (B) Adaptive parameter selection logic: n≤100→k=4,gap1; n&gt;100→k=5,gap2. (C) Stability validation across 5 repeats per scale.</w:t>
      </w:r>
    </w:p>
    <w:p>
      <w:pPr>
        <w:pStyle w:val="BodyText"/>
      </w:pPr>
      <w:r>
        <w:rPr>
          <w:b/>
          <w:bCs/>
        </w:rPr>
        <w:t xml:space="preserve">Figure 5.</w:t>
      </w:r>
      <w:r>
        <w:t xml:space="preserve"> </w:t>
      </w:r>
      <w:r>
        <w:t xml:space="preserve">Scalability and cross-platform deployment. (A) Wall-clock time vs n on a 4-core workstation. Dashed line: O(n² log n) scaling. (B) Windows-native FastME vs WSL overhead comparison. (C) Fusang web server architecture.</w:t>
      </w:r>
    </w:p>
    <w:p>
      <w:pPr>
        <w:pStyle w:val="BodyText"/>
      </w:pPr>
      <w:r>
        <w:rPr>
          <w:b/>
          <w:bCs/>
        </w:rPr>
        <w:t xml:space="preserve">Figure 6.</w:t>
      </w:r>
      <w:r>
        <w:t xml:space="preserve"> </w:t>
      </w:r>
      <w:r>
        <w:t xml:space="preserve">Real data validation and comparison with Fusang v1. (A) 16S rRNA tree with NCBI taxonomic annotations. (B) Pairwise tree distance by taxonomic rank, showing order-level significance (p&lt;0.01). (C) Fusang v1 vs Tardigrade Edition comparison: architecture, scalability, accuracy, and deployment.</w:t>
      </w:r>
    </w:p>
    <w:p>
      <w:r>
        <w:pict>
          <v:rect style="width:0;height:1.5pt" o:hralign="center" o:hrstd="t" o:hr="t"/>
        </w:pict>
      </w:r>
    </w:p>
    <w:p>
      <w:pPr>
        <w:pStyle w:val="FirstParagraph"/>
      </w:pPr>
      <w:r>
        <w:rPr>
          <w:i/>
          <w:iCs/>
        </w:rPr>
        <w:t xml:space="preserve">Manuscript prepared for Nucleic Acids Research. Main text: approximately 6,000 words.</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2026-06-27T16:06:22Z</dcterms:created>
  <dcterms:modified xsi:type="dcterms:W3CDTF">2026-06-27T16:06:22Z</dcterms:modified>
</cp:coreProperties>
</file>

<file path=docProps/custom.xml><?xml version="1.0" encoding="utf-8"?>
<Properties xmlns="http://schemas.openxmlformats.org/officeDocument/2006/custom-properties" xmlns:vt="http://schemas.openxmlformats.org/officeDocument/2006/docPropsVTypes"/>
</file>