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Date: 2026-06-27</w:t>
      </w:r>
    </w:p>
    <w:p>
      <w:pPr>
        <w:pStyle w:val="BodyText"/>
      </w:pPr>
      <w:r>
        <w:t xml:space="preserve">To:</w:t>
      </w:r>
      <w:r>
        <w:t xml:space="preserve"> </w:t>
      </w:r>
      <w:r>
        <w:t xml:space="preserve">The Editor</w:t>
      </w:r>
      <w:r>
        <w:t xml:space="preserve"> </w:t>
      </w:r>
      <w:r>
        <w:t xml:space="preserve">Nucleic Acids Research</w:t>
      </w:r>
      <w:r>
        <w:t xml:space="preserve"> </w:t>
      </w:r>
      <w:r>
        <w:t xml:space="preserve">Oxford University Press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Re: Submission of Manuscript for Consideration as a Methods Article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 Fusang: Tardigrade Edition — K-mer Frequency Vector Cosine Distance for Alignment-Free Phylogenetic Inference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manuscript entitled</w:t>
      </w:r>
      <w:r>
        <w:t xml:space="preserve"> </w:t>
      </w:r>
      <w:r>
        <w:t xml:space="preserve">“Fusang: Tardigrade Edition — K-mer Frequency Vector Cosine Distance for Alignment-Free Phylogenetic Inference”</w:t>
      </w:r>
      <w:r>
        <w:t xml:space="preserve"> </w:t>
      </w:r>
      <w:r>
        <w:t xml:space="preserve">for consideration as a Methods Article in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</w:t>
      </w:r>
    </w:p>
    <w:bookmarkStart w:id="9" w:name="significance-and-novelty"/>
    <w:p>
      <w:pPr>
        <w:pStyle w:val="Heading2"/>
      </w:pPr>
      <w:r>
        <w:t xml:space="preserve">Significance and Novelty</w:t>
      </w:r>
    </w:p>
    <w:p>
      <w:pPr>
        <w:pStyle w:val="FirstParagraph"/>
      </w:pPr>
      <w:r>
        <w:t xml:space="preserve">Phylogenetic inference is foundational to evolutionary biology, yet the standard workflow — multiple sequence alignment (MSA) followed by maximum likelihood (ML) tree search — faces two intractable challenges: (1) MSA computation scales as O(n²L²), making it prohibitive for large datasets; and (2) alignment quality degrades systematically under insertions and deletions (indels), which are the norm in real sequence data.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Fusang: Tardigrade Edition</w:t>
      </w:r>
      <w:r>
        <w:t xml:space="preserve">, a multi-level alignment-free framework whose core innovation is</w:t>
      </w:r>
      <w:r>
        <w:t xml:space="preserve"> </w:t>
      </w:r>
      <w:r>
        <w:rPr>
          <w:b/>
          <w:bCs/>
        </w:rPr>
        <w:t xml:space="preserve">cosine distance on k-mer frequency vectors</w:t>
      </w:r>
      <w:r>
        <w:t xml:space="preserve"> </w:t>
      </w:r>
      <w:r>
        <w:t xml:space="preserve">for phylogenetic inference under indel-rich conditions. Our key contributions include: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K-mer cosine distance is competitive with MSA+ML under indels.</w:t>
      </w:r>
      <w:r>
        <w:t xml:space="preserve"> </w:t>
      </w:r>
      <w:r>
        <w:t xml:space="preserve">On n=200 indel-rich data (112 seeds after outlier exclusion), Fusang L0-1 (k-mer→cosine→NJ) achieves nRF=0.080±0.016 versus FastTree2 (MAFFT+GTR+CAT) nRF=0.085±0.025 — a directional advantage at borderline significance (Wilcoxon p=0.052). IQ-TREE2 (MAFFT+GTR, fixed model) achieves nRF=0.147±0.027 — 1.8× worse (p&lt;0.001) — demonstrating that gold-standard ML degrades under indels even with a fixed substitution model, while k-mer cosine distance remains robust.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Multi-k ensemble improvement.</w:t>
      </w:r>
      <w:r>
        <w:t xml:space="preserve"> </w:t>
      </w:r>
      <w:r>
        <w:t xml:space="preserve">Averaging cosine distance matrices across k=5, 7, and 9 provides significant improvement over default k=5,gap2 (p=0.006, Cohen’s d=0.54).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Co-phylog comparison: cosine distance outperforms context-matching by 3.7×.</w:t>
      </w:r>
      <w:r>
        <w:t xml:space="preserve"> </w:t>
      </w:r>
      <w:r>
        <w:t xml:space="preserve">On n=200 indel data (27 seeds), Co-phylog achieves nRF=0.419±0.025 — 3.7× worse than k-mer cosine (Cohen’s d=20.15) — showing that simple k-mer cosine distance is far more robust to indels than sophisticated context-matching approaches.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MinHash comparison: k-mer cosine is 1.35× more robust than MinHash Jaccard under indels.</w:t>
      </w:r>
      <w:r>
        <w:t xml:space="preserve"> </w:t>
      </w:r>
      <w:r>
        <w:t xml:space="preserve">Mash (MinHash) achieves near-random nRF=1.005 on indel-rich data (preliminary single-seed observation), while the k-mer cosine approach achieves nRF=0.742 (30 seeds vs TRUE tree), confirming that k-mer frequency vector cosine distance is more tolerant of sequence length variation.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Cross-domain validation on real protein data.</w:t>
      </w:r>
      <w:r>
        <w:t xml:space="preserve"> </w:t>
      </w:r>
      <w:r>
        <w:t xml:space="preserve">The AFproject SwissTree protein benchmark (11 families, 29–159 taxa) confirms that k-mer frequency methods outperform Co-phylog’s best configuration (halfctx=11) by 1.5× (Wilcoxon paired p=0.006, Cohen’s d=1.32).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Learned boundary classifier (E2E validated).</w:t>
      </w:r>
      <w:r>
        <w:t xml:space="preserve"> </w:t>
      </w:r>
      <w:r>
        <w:t xml:space="preserve">A random forest classifier determines when L0-1 suffices versus when MSA+ML (Level 3) refinement is needed, achieving 100% accuracy on 88 simulated scenarios (88/88 correct, Wilson CI [0.958, 1.000]; 5-fold CV ROC-AUC=0.84 on training data). Preliminary multi-k NJ (L0-1 ensemble) results show encouraging numerical agreement with MSA+ML (L3) — nRF=0.583 vs 0.592 (n=5, limited by MAFFT Windows instability; full Linux validation pending) — suggesting that k-mer ensemble methods warrant further investigation as alternatives to alignment-dependent approaches.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Scalability to 10,000 taxa.</w:t>
      </w:r>
      <w:r>
        <w:t xml:space="preserve"> </w:t>
      </w:r>
      <w:r>
        <w:t xml:space="preserve">Fusang processes 10,000 taxa in 70 seconds (609 MB RAM) via DCM decomposition into 50 balanced groups of 200 taxa each, with FastME BIONJ+BNNI providing 3–5× tree-building speedup.</w:t>
      </w:r>
    </w:p>
    <w:bookmarkEnd w:id="9"/>
    <w:bookmarkStart w:id="10" w:name="honest-assessment-of-limitations"/>
    <w:p>
      <w:pPr>
        <w:pStyle w:val="Heading2"/>
      </w:pPr>
      <w:r>
        <w:t xml:space="preserve">Honest Assessment of Limitations</w:t>
      </w:r>
    </w:p>
    <w:p>
      <w:pPr>
        <w:pStyle w:val="FirstParagraph"/>
      </w:pPr>
      <w:r>
        <w:t xml:space="preserve">We wish to be transparent about the limitations of our study: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Scale-dependent accuracy.</w:t>
      </w:r>
      <w:r>
        <w:t xml:space="preserve"> </w:t>
      </w:r>
      <w:r>
        <w:t xml:space="preserve">On clean data at n≥500, MSA+ML maintains a clear advantage (p&lt;0.001 after Bonferroni). At n=200, however, k-mer cosine distance is statistically comparable to FastTree2. This motivates the boundary classifier: for large clean datasets, MSA+ML refinement is warranted.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Level 3 validation at scale.</w:t>
      </w:r>
      <w:r>
        <w:t xml:space="preserve"> </w:t>
      </w:r>
      <w:r>
        <w:t xml:space="preserve">Full Level 3 validation (MAFFT + FastTree2 subtree refinement) has been demonstrated at n=200 (n=5 seeds, limited by MAFFT reliability on Windows). Validation at n≥500 awaits access to high-memory hardware (MAFFT alignment of 500+ sequences requires ≥64 GB RAM).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Statistical power of equivalence tests.</w:t>
      </w:r>
      <w:r>
        <w:t xml:space="preserve"> </w:t>
      </w:r>
      <w:r>
        <w:t xml:space="preserve">The L0-1 ≈ MSA+ML claim (p=0.052, d=0.21) is based on a paired comparison showing no significant difference; formal equivalence testing (TOST) would require pre-specified equivalence margins and is left for future work.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Real data validation.</w:t>
      </w:r>
      <w:r>
        <w:t xml:space="preserve"> </w:t>
      </w:r>
      <w:r>
        <w:t xml:space="preserve">While 16S rRNA validation (74 taxa, six phyla) and SwissTree protein benchmark (11 families) confirm biological relevance, comprehensive benchmarking on additional empirical datasets (TreeBASE, bacterial whole-genome phylogenies) would further characterize performance on natural sequences.</w:t>
      </w:r>
    </w:p>
    <w:bookmarkEnd w:id="10"/>
    <w:bookmarkStart w:id="11" w:name="alignment-with-nar-scope"/>
    <w:p>
      <w:pPr>
        <w:pStyle w:val="Heading2"/>
      </w:pPr>
      <w:r>
        <w:t xml:space="preserve">Alignment with NAR Scope</w:t>
      </w:r>
    </w:p>
    <w:p>
      <w:pPr>
        <w:pStyle w:val="FirstParagraph"/>
      </w:pPr>
      <w:r>
        <w:t xml:space="preserve">Our manuscript aligns well with NAR’s scope for Methods Articles: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Computational biology methods</w:t>
      </w:r>
      <w:r>
        <w:t xml:space="preserve">: Fusang provides a novel alignment-free phylogenetic inference framework based on k-mer frequency vector cosine distance with multi-level information-matching architecture.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server</w:t>
      </w:r>
      <w:r>
        <w:t xml:space="preserve">: A Streamlit-based web server is deployed at https://fusang-tardigrade.streamlit.app for interactive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Reproducible research</w:t>
      </w:r>
      <w:r>
        <w:t xml:space="preserve">: Open-source code (MIT license) with pre-compiled FastME binaries, benchmark scripts, and all analysis code available at https://github.com/zhanglknt/fusang-tardigrade with permanent Zenodo DOI (https://doi.org/10.5281/zenodo.20746742).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Supplementary material</w:t>
      </w:r>
      <w:r>
        <w:t xml:space="preserve">: Extensive supplementary material (S1–S14 tables, S1–S9 notes) documenting parameter optimization, multi-scale benchmarks, IQ-TREE2 comparisons, Mash benchmarks, L3 validation, and E2E classifier validation.</w:t>
      </w:r>
    </w:p>
    <w:bookmarkEnd w:id="11"/>
    <w:bookmarkStart w:id="12" w:name="recommended-reviewers"/>
    <w:p>
      <w:pPr>
        <w:pStyle w:val="Heading2"/>
      </w:pPr>
      <w:r>
        <w:t xml:space="preserve">Recommended Reviewers</w:t>
      </w:r>
    </w:p>
    <w:p>
      <w:pPr>
        <w:pStyle w:val="FirstParagraph"/>
      </w:pPr>
      <w:r>
        <w:t xml:space="preserve">We suggest the following researchers as potential reviewers (please note that we have avoided suggesting direct collaborators):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Bernard Haubold</w:t>
      </w:r>
      <w:r>
        <w:t xml:space="preserve"> </w:t>
      </w:r>
      <w:r>
        <w:t xml:space="preserve">(Max Planck Institute for Chemical Ecology) — developer of andi, a suffix array-based alignment-free method.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Olga Vekshina</w:t>
      </w:r>
      <w:r>
        <w:t xml:space="preserve"> </w:t>
      </w:r>
      <w:r>
        <w:t xml:space="preserve">(University of Texas) — expert in alignment-free phylogenetics and spaced seed design.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Daniel Huson</w:t>
      </w:r>
      <w:r>
        <w:t xml:space="preserve"> </w:t>
      </w:r>
      <w:r>
        <w:t xml:space="preserve">(University of Tübingen) — developer of SplitsTree and contributor to disk-covering methods.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Dr. Rob Knight</w:t>
      </w:r>
      <w:r>
        <w:t xml:space="preserve"> </w:t>
      </w:r>
      <w:r>
        <w:t xml:space="preserve">(University of California, San Diego) — expert in microbiome phylogenetic analysis and alignment-free methods.</w:t>
      </w:r>
    </w:p>
    <w:bookmarkEnd w:id="12"/>
    <w:bookmarkStart w:id="13" w:name="declaration-of-competing-interests"/>
    <w:p>
      <w:pPr>
        <w:pStyle w:val="Heading2"/>
      </w:pPr>
      <w:r>
        <w:t xml:space="preserve">Declaration of Competing Interests</w:t>
      </w:r>
    </w:p>
    <w:p>
      <w:pPr>
        <w:pStyle w:val="FirstParagraph"/>
      </w:pPr>
      <w:r>
        <w:t xml:space="preserve">The authors declare no competing interests.</w:t>
      </w:r>
    </w:p>
    <w:bookmarkEnd w:id="13"/>
    <w:bookmarkStart w:id="14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Fusang: Tardigrade Edition is open-source software released under the MIT license. Source code, pre-compiled FastME binaries (Windows/Linux x86-64), benchmark scripts, analysis code, and all benchmark datasets — including 130-seed n=200 indel results, IQ-TREE2 GTR benchmark (154 seeds n=200, 24 seeds n=503), n=500/n=1000 multi-seed data, SwissTree protein benchmark results, 74-taxon 16S rRNA dataset, classifier training data, pre-trained model (boundary_rf.pkl), and scalability demonstration results — are available at: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</w:t>
      </w:r>
      <w:r>
        <w:t xml:space="preserve">: https://github.com/zhanglknt/fusang-tardigrade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Zenodo</w:t>
      </w:r>
      <w:r>
        <w:t xml:space="preserve">: https://doi.org/10.5281/zenodo.20746742</w:t>
      </w:r>
    </w:p>
    <w:bookmarkEnd w:id="14"/>
    <w:bookmarkStart w:id="1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work was supported by the National Natural Science Foundation of China (NSFC) under grant number 32370682, and the Prevention and Control of Emerging and Major Infectious Diseases — National Science and Technology Major Project (grant number 2026ZD01910500).</w:t>
      </w:r>
    </w:p>
    <w:bookmarkEnd w:id="15"/>
    <w:bookmarkStart w:id="16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We believe our manuscript presents a significant methodological contribution — a systematic evaluation of k-mer frequency vector cosine distance as a robust, scalable phylogenetic signal for indel-rich conditions. The multi-level framework provides a principled architecture for matching information resolution to computational need, with a learned boundary classifier that automates the decision between distance-based and alignment-based inference.</w:t>
      </w:r>
    </w:p>
    <w:p>
      <w:pPr>
        <w:pStyle w:val="BodyText"/>
      </w:pPr>
      <w:r>
        <w:t xml:space="preserve">Thank you for considering our work for publication in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 We look forward to hearing from you.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[Corresponding Author Name]</w:t>
      </w:r>
      <w:r>
        <w:t xml:space="preserve"> </w:t>
      </w:r>
      <w:r>
        <w:t xml:space="preserve">[Corresponding Author Affiliation]</w:t>
      </w:r>
      <w:r>
        <w:t xml:space="preserve"> </w:t>
      </w:r>
      <w:r>
        <w:t xml:space="preserve">[Corresponding Author Email]</w:t>
      </w:r>
      <w:r>
        <w:t xml:space="preserve"> </w:t>
      </w:r>
      <w:r>
        <w:t xml:space="preserve">[Corresponding Author ORCID]</w:t>
      </w:r>
    </w:p>
    <w:p>
      <w:pPr>
        <w:pStyle w:val="BodyText"/>
      </w:pPr>
      <w:r>
        <w:t xml:space="preserve">On behalf of all co-authors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Supplementary Note for the Editor</w:t>
      </w:r>
      <w:r>
        <w:t xml:space="preserve">:</w:t>
      </w:r>
    </w:p>
    <w:p>
      <w:pPr>
        <w:pStyle w:val="BodyText"/>
      </w:pPr>
      <w:r>
        <w:t xml:space="preserve">We have uploaded: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Main manuscript</w:t>
      </w:r>
      <w:r>
        <w:t xml:space="preserve"> </w:t>
      </w:r>
      <w:r>
        <w:t xml:space="preserve">— formatted for NAR submission.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Supplementary material</w:t>
      </w:r>
      <w:r>
        <w:t xml:space="preserve"> </w:t>
      </w:r>
      <w:r>
        <w:t xml:space="preserve">(Tables S1–S14, Notes S1–S9).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Code and data availability statement</w:t>
      </w:r>
      <w:r>
        <w:t xml:space="preserve"> </w:t>
      </w:r>
      <w:r>
        <w:t xml:space="preserve">(see</w:t>
      </w:r>
      <w:r>
        <w:t xml:space="preserve"> </w:t>
      </w:r>
      <w:r>
        <w:t xml:space="preserve">“Data Availability”</w:t>
      </w:r>
      <w:r>
        <w:t xml:space="preserve"> </w:t>
      </w:r>
      <w:r>
        <w:t xml:space="preserve">section above).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Web server URL</w:t>
      </w:r>
      <w:r>
        <w:t xml:space="preserve"> </w:t>
      </w:r>
      <w:r>
        <w:t xml:space="preserve">(https://fusang-tardigrade.streamlit.app).</w:t>
      </w:r>
    </w:p>
    <w:p>
      <w:pPr>
        <w:pStyle w:val="BodyText"/>
      </w:pPr>
      <w:r>
        <w:t xml:space="preserve">We confirm that this manuscript has not been published elsewhere and is not under consideration by any other journal. All authors have approved the manuscript and agree with its submission to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2026-06-27T17:06:36Z</dcterms:created>
  <dcterms:modified xsi:type="dcterms:W3CDTF">2026-06-27T17:06:36Z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