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Table 1. Accuracy on clean and indel-rich data (L=500 bp, μ=0.05, 30 seeds per condition, seed set 70–99). All nRF values are TRUE-relative (vs simulated ground-truth tree) except where noted.</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0.019 (k=5,gap2)</w:t>
            </w:r>
          </w:p>
        </w:tc>
        <w:tc>
          <w:tcPr/>
          <w:p>
            <w:pPr>
              <w:pStyle w:val="Compact"/>
            </w:pPr>
            <w:r>
              <w:t xml:space="preserve">0.096 ± 0.019</w:t>
            </w:r>
          </w:p>
        </w:tc>
        <w:tc>
          <w:tcPr/>
          <w:p>
            <w:pPr>
              <w:pStyle w:val="Compact"/>
            </w:pPr>
            <w:r>
              <w:t xml:space="preserve">FT2 (n.s.)</w:t>
            </w:r>
          </w:p>
        </w:tc>
      </w:tr>
      <w:tr>
        <w:tc>
          <w:tcPr/>
          <w:p>
            <w:pPr>
              <w:pStyle w:val="Compact"/>
            </w:pPr>
            <w:r>
              <w:t xml:space="preserve">200</w:t>
            </w:r>
          </w:p>
        </w:tc>
        <w:tc>
          <w:tcPr/>
          <w:p>
            <w:pPr>
              <w:pStyle w:val="Compact"/>
            </w:pPr>
            <w:r>
              <w:t xml:space="preserve">Indel (0.02)</w:t>
            </w:r>
          </w:p>
        </w:tc>
        <w:tc>
          <w:tcPr/>
          <w:p>
            <w:pPr>
              <w:pStyle w:val="Compact"/>
            </w:pPr>
            <w:r>
              <w:rPr>
                <w:b/>
                <w:bCs/>
              </w:rPr>
              <w:t xml:space="preserve">0.077 ± 0.018</w:t>
            </w:r>
            <w:r>
              <w:t xml:space="preserve"> </w:t>
            </w:r>
            <w:r>
              <w:t xml:space="preserve">(k=5,gap2)</w:t>
            </w:r>
          </w:p>
        </w:tc>
        <w:tc>
          <w:tcPr/>
          <w:p>
            <w:pPr>
              <w:pStyle w:val="Compact"/>
            </w:pPr>
            <w:r>
              <w:t xml:space="preserve">0.080 ± 0.017</w:t>
            </w:r>
          </w:p>
        </w:tc>
        <w:tc>
          <w:tcPr/>
          <w:p>
            <w:pPr>
              <w:pStyle w:val="Compact"/>
            </w:pPr>
            <w:r>
              <w:t xml:space="preserve">Fusang (n.s.)</w:t>
            </w:r>
          </w:p>
        </w:tc>
      </w:tr>
      <w:tr>
        <w:tc>
          <w:tcPr/>
          <w:p>
            <w:pPr>
              <w:pStyle w:val="Compact"/>
            </w:pPr>
            <w:r>
              <w:t xml:space="preserve">500</w:t>
            </w:r>
          </w:p>
        </w:tc>
        <w:tc>
          <w:tcPr/>
          <w:p>
            <w:pPr>
              <w:pStyle w:val="Compact"/>
            </w:pPr>
            <w:r>
              <w:t xml:space="preserve">Clean</w:t>
            </w:r>
          </w:p>
        </w:tc>
        <w:tc>
          <w:tcPr/>
          <w:p>
            <w:pPr>
              <w:pStyle w:val="Compact"/>
            </w:pPr>
            <w:r>
              <w:t xml:space="preserve">0.119 ± 0.011 (k=5,gap2)</w:t>
            </w:r>
          </w:p>
        </w:tc>
        <w:tc>
          <w:tcPr/>
          <w:p>
            <w:pPr>
              <w:pStyle w:val="Compact"/>
            </w:pPr>
            <w:r>
              <w:rPr>
                <w:b/>
                <w:bCs/>
              </w:rPr>
              <w:t xml:space="preserve">0.093 ± 0.013</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0.015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0.011 (k=5,gap2)</w:t>
            </w:r>
          </w:p>
        </w:tc>
        <w:tc>
          <w:tcPr/>
          <w:p>
            <w:pPr>
              <w:pStyle w:val="Compact"/>
            </w:pPr>
            <w:r>
              <w:rPr>
                <w:b/>
                <w:bCs/>
              </w:rPr>
              <w:t xml:space="preserve">0.091 ± 0.010</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rPr>
                <w:b/>
                <w:bCs/>
              </w:rPr>
              <w:t xml:space="preserve">0.037 ± 0.006</w:t>
            </w:r>
            <w:r>
              <w:t xml:space="preserve"> </w:t>
            </w:r>
            <w:r>
              <w:t xml:space="preserve">(k=5,gap2) †</w:t>
            </w:r>
          </w:p>
        </w:tc>
        <w:tc>
          <w:tcPr/>
          <w:p>
            <w:pPr>
              <w:pStyle w:val="Compact"/>
            </w:pPr>
            <w:r>
              <w:t xml:space="preserve">—</w:t>
            </w:r>
          </w:p>
        </w:tc>
        <w:tc>
          <w:tcPr/>
          <w:p>
            <w:pPr>
              <w:pStyle w:val="Compact"/>
            </w:pPr>
            <w:r>
              <w:t xml:space="preserve">—</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 For both methods, nRF is computed against the simulated ground-truth (TRUE) tree.</w:t>
      </w:r>
      <w:r>
        <w:t xml:space="preserve"> </w:t>
      </w:r>
      <w:r>
        <w:t xml:space="preserve">† The n=1000 indel row is FT2-relative (Fusang tree vs FastTree2 tree; TRUE-tree comparison not available at this scale) and is therefore not comparable with TRUE-relative values elsewhere. The Abstract reports the independent 112-seed post-exclusion benchmark value (nRF=0.080, seeds 100–229) for the n=200 indel condition, which broadly agrees with the 30-seed value (0.077). That 112-seed benchmark (n=200, indel rate=0.02) achieved p=0.052 (paired Wilcoxon signed-rank test on TRUE-relative nRF, borderline). After Bonferroni correction across 5 ground 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(Table 4) provides a statistically significant improvement over the default configuration. On clean data at n≥500, MSA-based methods retain a clear advantage (p&lt;0.001 after correction), indicating that full positional information from alignment benefits ML inference when indels are absent.</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0.394</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0.762</w:t>
            </w:r>
          </w:p>
        </w:tc>
        <w:tc>
          <w:tcPr/>
          <w:p>
            <w:pPr>
              <w:pStyle w:val="Compact"/>
            </w:pPr>
            <w:r>
              <w:t xml:space="preserve">0.036</w:t>
            </w:r>
          </w:p>
        </w:tc>
        <w:tc>
          <w:tcPr/>
          <w:p>
            <w:pPr>
              <w:pStyle w:val="Compact"/>
            </w:pPr>
            <w:r>
              <w:t xml:space="preserve">30</w:t>
            </w:r>
          </w:p>
        </w:tc>
        <w:tc>
          <w:tcPr/>
          <w:p>
            <w:pPr>
              <w:pStyle w:val="Compact"/>
              <w:jc w:val="center"/>
            </w:pPr>
            <w:r>
              <w:rPr>
                <w:b/>
                <w:bCs/>
              </w:rPr>
              <w:t xml:space="preserve">1.93×</w:t>
            </w:r>
          </w:p>
        </w:tc>
      </w:tr>
    </w:tbl>
    <w:p>
      <w:pPr>
        <w:pStyle w:val="BodyText"/>
      </w:pPr>
      <w:r>
        <w:rPr>
          <w:b/>
          <w:bCs/>
        </w:rPr>
        <w:t xml:space="preserve">Note: Mash results are from a 30-seed benchmark (this work, WSL2 Ubuntu 24.04, Mash v2.3); Fusang results are from the same 30-seed coalescent protocol. An earlier single-seed Mash value (nRF=0.162 on clean data) reported during development appears to have been based on an incorrectly parsed tree file and is superseded by this benchmark.</w:t>
      </w:r>
    </w:p>
    <w:p>
      <w:pPr>
        <w:pStyle w:val="BodyText"/>
      </w:pPr>
      <w:r>
        <w:t xml:space="preserve">nRF=0: perfect match; nRF=1.0: random tree. nRF = RF / (2(n−3)). Mash 30-seed benchmark (this work, Mash v2.3, k=21, MinHash Jaccard, NJ tree). Indel degradation = nRF_indel / nRF_clean. Mash at nRF=0.762 on indel-rich data produces trees with substantial topological error (~76% bipartition mismatch), though not statistically indistinguishable from random (nRF=1.0).</w:t>
      </w:r>
    </w:p>
    <w:p>
      <w:pPr>
        <w:pStyle w:val="BodyText"/>
      </w:pPr>
      <w:r>
        <w:t xml:space="preserve">Three findings emerge from the multi-seed Mash benchmark (n=30, Mash v2.3, k=21, MinHash Jaccard, NJ tree, vs TRUE tree):</w:t>
      </w:r>
    </w:p>
    <w:p>
      <w:pPr>
        <w:numPr>
          <w:ilvl w:val="0"/>
          <w:numId w:val="1001"/>
        </w:numPr>
      </w:pPr>
      <w:r>
        <w:rPr>
          <w:b/>
          <w:bCs/>
        </w:rPr>
        <w:t xml:space="preserve">Mash slightly underperforms k-mer cosine distances on clean data.</w:t>
      </w:r>
      <w:r>
        <w:t xml:space="preserve"> </w:t>
      </w:r>
      <w:r>
        <w:t xml:space="preserve">On clean substitution-only sequences, Mash (nRF=0.394 ± 0.045) is slightly less accurate than Fusang’s k-mer cosine (nRF=0.376 ± 0.045, Table 2). The multi-seed benchmark (n=30) provides robust quantification: MinHash Jaccard is not superior to k-mer cosine on clean gene-length sequences.</w:t>
      </w:r>
    </w:p>
    <w:p>
      <w:pPr>
        <w:numPr>
          <w:ilvl w:val="0"/>
          <w:numId w:val="1001"/>
        </w:numPr>
      </w:pPr>
      <w:r>
        <w:rPr>
          <w:b/>
          <w:bCs/>
        </w:rPr>
        <w:t xml:space="preserve">Both methods degrade severely on indel-rich data, with k-mer cosine retaining marginally lower absolute error.</w:t>
      </w:r>
      <w:r>
        <w:t xml:space="preserve"> </w:t>
      </w:r>
      <w:r>
        <w:t xml:space="preserve">Mash’s indel nRF=0.762 ± 0.036 corresponds to ~76% bipartition mismatch. The indel degradation factor is 1.93× (nRF_indel / nRF_clean); Fusang’s k-mer cosine degrades by a comparable 1.97× (nRF=0.376 → 0.742, Table 2). Fusang’s absolute indel nRF (0.742) is marginally lower than Mash’s (0.762); because a formal between-method test on matched seeds was not performed, this small absolute difference should be interpreted descriptively. A plausible mechanistic explanation for the residual difference is that MinHash sketches discard positional information entirely, making them sensitive to indel-induced length variation, whereas k-mer frequency vectors retain distributional information across the sequence.</w:t>
      </w:r>
    </w:p>
    <w:p>
      <w:pPr>
        <w:numPr>
          <w:ilvl w:val="0"/>
          <w:numId w:val="1001"/>
        </w:numPr>
      </w:pPr>
      <w:r>
        <w:rPr>
          <w:b/>
          <w:bCs/>
        </w:rPr>
        <w:t xml:space="preserve">MinHash Jaccard is not recommended for phylogenetic inference on gene-length sequences.</w:t>
      </w:r>
      <w:r>
        <w:t xml:space="preserve"> </w:t>
      </w:r>
      <w:r>
        <w:t xml:space="preserve">Mash was designed for whole-genome distance estimation (sketch size s=1000 by default, k=21), where whole-genome content masking makes MinHash effective. For gene-length sequences (L=500–1000 bp) with indels, the combination of short sequence length and indel-induced length variation produces unreliable MinHash distances. K-mer cosine distances (Fusang) are the recommended alignment-free approach for phylogenetic inference on gene-length sequences.</w:t>
      </w:r>
    </w:p>
    <w:p>
      <w:pPr>
        <w:pStyle w:val="FirstParagraph"/>
      </w:pPr>
      <w:r>
        <w:rPr>
          <w:b/>
          <w:bCs/>
        </w:rPr>
        <w:t xml:space="preserve">Table 3. Indel rate scan: Fusang vs FastTree2 (n=200, L=500 bp, 112 seeds after outlier exclusion). All nRF values are TRUE-relative (vs simulated ground-truth tree).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(FT2-rel)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0.084</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t xml:space="preserve">Both columns are TRUE-relative and directly comparable per seed. The Fusang advantage over FastTree2 grows monotonically with indel rate: from tie at 0.005 to a 13.3% relative advantage at 0.05 (calculated as (FT2_nRF − Fusang_nRF) / FT2_nRF × 100%). Table 5 reports an independent pipeline-level validation under a coalescent simulation protocol (single-k NJ: nRF=0.743, multi-k NJ: nRF=0.583), where absolute nRF values are higher for all methods.</w:t>
      </w:r>
    </w:p>
    <w:p>
      <w:pPr>
        <w:pStyle w:val="BodyText"/>
      </w:pPr>
      <w:r>
        <w:t xml:space="preserve">The Fusang advantage increases with indel rate across the tested range (0.005–0.05). At indel=0.05, Fusang achieves a 13.3% relative advantage (nRF 0.066 vs 0.076), while at biologically typical rates (0.01–0.02) the advantage is modest (+4.6–4.7%). Real biological indel rates typically fall in the 0.01–0.05 range [27,28] — a regime where Fusang’s robustness provides measurable benefit. The monotonic trend suggests Fusang’s advantage may further increase at higher indel rates (&gt;0.05), though phylogenetic signal eventually degrades for all methods.</w:t>
      </w:r>
    </w:p>
    <w:p>
      <w:pPr>
        <w:pStyle w:val="BodyText"/>
      </w:pPr>
      <w:r>
        <w:rPr>
          <w:b/>
          <w:bCs/>
        </w:rPr>
        <w:t xml:space="preserve">Table 4. Multi-k ensemble vs single-k configuration (n=200, indel rate=0.02, 30 seeds).</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0.008 (6.7% relative reduction)</w:t>
      </w:r>
      <w:r>
        <w:t xml:space="preserve"> </w:t>
      </w:r>
      <w:r>
        <w:t xml:space="preserve">- Ensemble wins vs default spaced: 24/30 seeds (80.0%)</w:t>
      </w:r>
      <w:r>
        <w:t xml:space="preserve"> </w:t>
      </w:r>
      <w:r>
        <w:t xml:space="preserve">- Wilcoxon signed-rank test (vs default spaced, pre-specified primary test): p =</w:t>
      </w:r>
      <w:r>
        <w:t xml:space="preserve"> </w:t>
      </w:r>
      <w:r>
        <w:rPr>
          <w:b/>
          <w:bCs/>
        </w:rPr>
        <w:t xml:space="preserve">0.006</w:t>
      </w:r>
      <w:r>
        <w:t xml:space="preserve"> </w:t>
      </w:r>
      <w:r>
        <w:t xml:space="preserve">(paired t-test as sensitivity analysis: p = 0.007)</w:t>
      </w:r>
      <w:r>
        <w:t xml:space="preserve"> </w:t>
      </w:r>
      <w:r>
        <w:t xml:space="preserve">- Cohen’s d (vs default spaced) = 0.54 (medium effect size;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(per-seed data: Supplementary Figure S7, Supplementary Table S9).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w:t>
      </w:r>
    </w:p>
    <w:p>
      <w:pPr>
        <w:pStyle w:val="BodyText"/>
      </w:pPr>
      <w:r>
        <w:rPr>
          <w:b/>
          <w:bCs/>
        </w:rPr>
        <w:t xml:space="preserve">Table 5. Pipeline-level validation against TRUE tree (n=200, indel=0.02, 30 seeds). All nRF values are TRUE-relative (vs simulated coalescent ground truth). Note: this benchmark uses a coalescent simulation protocol, independent of the guide-tree protocol used in Tables 1 and 3; absolute nRF values are higher for all methods under this protocol and are not directly comparable across benchmarks. Per-seed data: Supplementary Table S13.</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0.592</w:t>
            </w:r>
          </w:p>
        </w:tc>
        <w:tc>
          <w:tcPr/>
          <w:p>
            <w:pPr>
              <w:pStyle w:val="Compact"/>
            </w:pPr>
            <w:r>
              <w:t xml:space="preserve">0.041</w:t>
            </w:r>
          </w:p>
        </w:tc>
        <w:tc>
          <w:tcPr/>
          <w:p>
            <w:pPr>
              <w:pStyle w:val="Compact"/>
            </w:pPr>
            <w:r>
              <w:t xml:space="preserve">5</w:t>
            </w:r>
          </w:p>
        </w:tc>
        <w:tc>
          <w:tcPr/>
          <w:p>
            <w:pPr>
              <w:pStyle w:val="Compact"/>
              <w:jc w:val="center"/>
            </w:pPr>
            <w:r>
              <w:t xml:space="preserve">N/A ²</w:t>
            </w:r>
          </w:p>
        </w:tc>
      </w:tr>
    </w:tbl>
    <w:p>
      <w:pPr>
        <w:pStyle w:val="BodyText"/>
      </w:pPr>
      <w:r>
        <w:t xml:space="preserve">¹ Wilcoxon signed-rank paired test against L0 (single-k NJ) within the same seed.</w:t>
      </w:r>
      <w:r>
        <w:br/>
      </w:r>
      <w:r>
        <w:t xml:space="preserve">² L3 (MAFFT+FastTree2) uses a fundamentally different inference pipeline (MSA + ML) and is not directly comparable to L0 under a paired test; the comparison of interest is L1 vs L3 (see text).</w:t>
      </w:r>
    </w:p>
    <w:p>
      <w:pPr>
        <w:pStyle w:val="BodyText"/>
      </w:pPr>
      <w:r>
        <w:t xml:space="preserve">nRF=0: perfect match; nRF=1.0: random tree. nRF = RF / (2(n−3)). All values vs TRUE coalescent tree. L3 results limited to n=5 due to MAFFT instability on Windows (seeds 6–30 produced empty alignments); L0 and L1 complete across all 30 seeds. L1 vs L0: Wilcoxon signed-rank test p&lt;0.0001, Cohen’s d=3.55 (large effect).</w:t>
      </w:r>
    </w:p>
    <w:p>
      <w:pPr>
        <w:pStyle w:val="BodyText"/>
      </w:pPr>
      <w:r>
        <w:t xml:space="preserve">Two key findings emerge from this validation:</w:t>
      </w:r>
    </w:p>
    <w:p>
      <w:pPr>
        <w:numPr>
          <w:ilvl w:val="0"/>
          <w:numId w:val="1002"/>
        </w:numPr>
      </w:pPr>
      <w:r>
        <w:rPr>
          <w:b/>
          <w:bCs/>
        </w:rPr>
        <w:t xml:space="preserve">Multi-k NJ produces numerically similar nRF to MSA+ML on a limited preliminary comparison.</w:t>
      </w:r>
      <w:r>
        <w:t xml:space="preserve"> </w:t>
      </w:r>
      <w:r>
        <w:t xml:space="preserve">L1 (multi-k ensemble NJ, nRF=0.583) and L3 (MAFFT+FastTree2, nRF=0.592) produce numerically comparable nRF values on the 5 seeds where both methods completed. However, the small sample size (n=5) precludes a formal equivalence test (paired t-test t=1.35, p=0.24), and these results should be interpreted as</w:t>
      </w:r>
      <w:r>
        <w:t xml:space="preserve"> </w:t>
      </w:r>
      <w:r>
        <w:rPr>
          <w:b/>
          <w:bCs/>
        </w:rPr>
        <w:t xml:space="preserve">initial evidence warranting larger-scale validation</w:t>
      </w:r>
      <w:r>
        <w:t xml:space="preserve">. The close numerical agreement on all 5 completed seeds provides an encouraging indication that k-mer cosine distances, when fused across multiple k-mer resolutions, may capture phylogenetic signal at a level approaching full MSA+ML inference under indel-rich conditions — without ever computing a sequence alignment. Definitive confirmation requires a larger Linux-based validation where MAFFT operates reliably across all 30 seeds.</w:t>
      </w:r>
    </w:p>
    <w:p>
      <w:pPr>
        <w:numPr>
          <w:ilvl w:val="0"/>
          <w:numId w:val="1002"/>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d=3.55). The unusually large effect size (d=3.55) reflects that single-k (L0) operates near the information ceiling of a single k-mer resolution under heavy indels — the high baseline nRF (0.743) and low variance (σ=0.046 for L0, σ=0.044 for L1) combine to yield d=3.55,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promising practical alternative to MSA+ML for indel-rich datasets at moderate scales, contingent on confirmatory larger-sample validation. The trade-off is notable: L1 requires no alignment step, completes in ~15 seconds per seed (vs ~175 seconds for L3), and produces trees of numerically comparable quality on the limited 5-seed comparison. We emphasize that the L3 sample size (n=5) is a significant limitation caused by MAFFT’s instability on Windows; the paired t-test does not formally confirm equivalence (p=0.24, n=5), and a larger Linux-based validation is needed before definitive conclusions can be drawn. The close numerical agreement between L1 and L3 on all 5 completed seeds is consistent with the broader pattern of k-mer methods approaching MSA accuracy under indels (Tables 1, 3, 4), but should be treated as encouraging preliminary evidence rather than conclusive demonstration.</w:t>
      </w:r>
    </w:p>
    <w:p>
      <w:pPr>
        <w:pStyle w:val="BodyText"/>
      </w:pPr>
      <w:r>
        <w:rPr>
          <w:b/>
          <w:bCs/>
        </w:rPr>
        <w:t xml:space="preserve">Table 6.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p>
      <w:pPr>
        <w:pStyle w:val="BodyText"/>
      </w:pPr>
      <w:r>
        <w:rPr>
          <w:b/>
          <w:bCs/>
        </w:rPr>
        <w:t xml:space="preserve">Table 7. Alignment-free method comparison on indel-rich data (n=200, sub=0.05, indel=0.02, 27 seeds,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0.419</w:t>
            </w:r>
          </w:p>
        </w:tc>
        <w:tc>
          <w:tcPr/>
          <w:p>
            <w:pPr>
              <w:pStyle w:val="Compact"/>
            </w:pPr>
            <w:r>
              <w:t xml:space="preserve">0.025</w:t>
            </w:r>
          </w:p>
        </w:tc>
        <w:tc>
          <w:tcPr/>
          <w:p>
            <w:pPr>
              <w:pStyle w:val="Compact"/>
              <w:jc w:val="center"/>
            </w:pPr>
            <w:r>
              <w:t xml:space="preserve">3.7× worse</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0.099</w:t>
            </w:r>
          </w:p>
        </w:tc>
        <w:tc>
          <w:tcPr/>
          <w:p>
            <w:pPr>
              <w:pStyle w:val="Compact"/>
            </w:pPr>
            <w:r>
              <w:t xml:space="preserve">0.017</w:t>
            </w:r>
          </w:p>
        </w:tc>
        <w:tc>
          <w:tcPr/>
          <w:p>
            <w:pPr>
              <w:pStyle w:val="Compact"/>
              <w:jc w:val="center"/>
            </w:pPr>
            <w:r>
              <w:t xml:space="preserve">0.9× (comparable)</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0.102</w:t>
            </w:r>
          </w:p>
        </w:tc>
        <w:tc>
          <w:tcPr/>
          <w:p>
            <w:pPr>
              <w:pStyle w:val="Compact"/>
            </w:pPr>
            <w:r>
              <w:t xml:space="preserve">0.019</w:t>
            </w:r>
          </w:p>
        </w:tc>
        <w:tc>
          <w:tcPr/>
          <w:p>
            <w:pPr>
              <w:pStyle w:val="Compact"/>
              <w:jc w:val="center"/>
            </w:pPr>
            <w:r>
              <w:t xml:space="preserve">0.9× (comparable)</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0.112</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contiguous (k=5,7,9 avg)</w:t>
            </w:r>
          </w:p>
        </w:tc>
        <w:tc>
          <w:tcPr/>
          <w:p>
            <w:pPr>
              <w:pStyle w:val="Compact"/>
            </w:pPr>
            <w:r>
              <w:rPr>
                <w:b/>
                <w:bCs/>
              </w:rPr>
              <w:t xml:space="preserve">0.105</w:t>
            </w:r>
          </w:p>
        </w:tc>
        <w:tc>
          <w:tcPr/>
          <w:p>
            <w:pPr>
              <w:pStyle w:val="Compact"/>
            </w:pPr>
            <w:r>
              <w:t xml:space="preserve">0.021</w:t>
            </w:r>
          </w:p>
        </w:tc>
        <w:tc>
          <w:tcPr/>
          <w:p>
            <w:pPr>
              <w:pStyle w:val="Compact"/>
              <w:jc w:val="center"/>
            </w:pPr>
            <w:r>
              <w:t xml:space="preserve">—</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 Fusang vs Co-phylog p&lt;0.001 (paired Cohen’s d=20.15 vs TRUE reference; d=1.99 vs FT2 reference), k-mer cosine k=5 vs Fusang p=0.0002 (Cohen’s d=−0.87).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d=20.15 value against the TRUE simulated ground truth (mean difference ≈ 0.419 − 0.112 = 0.307; SD of per-seed differences ≈ 0.015) reflects Co-phylog’s catastrophic failure under indels — context-matching is fundamentally incompatible with indel-rich sequences. We note that d&gt;2 is conventionally</w:t>
      </w:r>
      <w:r>
        <w:t xml:space="preserve"> </w:t>
      </w:r>
      <w:r>
        <w:t xml:space="preserve">“very large”</w:t>
      </w:r>
      <w:r>
        <w:t xml:space="preserve">; the d=20.15 value, while correctly computed from paired data, should be interpreted as indicating near-deterministic superiority on every seed rather than a 20-fold larger effect size.</w:t>
      </w:r>
    </w:p>
    <w:p>
      <w:pPr>
        <w:pStyle w:val="BodyText"/>
      </w:pPr>
      <w:r>
        <w:t xml:space="preserve">Two key findings emerge from this comparison:</w:t>
      </w:r>
    </w:p>
    <w:p>
      <w:pPr>
        <w:numPr>
          <w:ilvl w:val="0"/>
          <w:numId w:val="1003"/>
        </w:numPr>
      </w:pPr>
      <w:r>
        <w:rPr>
          <w:b/>
          <w:bCs/>
        </w:rPr>
        <w:t xml:space="preserve">Co-phylog fails under indel-rich conditions.</w:t>
      </w:r>
      <w:r>
        <w:t xml:space="preserve"> </w:t>
      </w:r>
      <w:r>
        <w:t xml:space="preserve">Co-phylog’s context-object approach (k=19) produces substantially worse trees (mean nRF=0.419) compared to k-mer frequency methods (nRF&lt;0.12)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w:t>
      </w:r>
    </w:p>
    <w:p>
      <w:pPr>
        <w:numPr>
          <w:ilvl w:val="0"/>
          <w:numId w:val="1003"/>
        </w:numPr>
      </w:pPr>
      <w:r>
        <w:rPr>
          <w:b/>
          <w:bCs/>
        </w:rPr>
        <w:t xml:space="preserve">Simple k-mer cosine distances achieve competitive accuracy.</w:t>
      </w:r>
      <w:r>
        <w:t xml:space="preserve"> </w:t>
      </w:r>
      <w:r>
        <w:t xml:space="preserve">Standard contiguous k-mer cosine distance (k=5 or k=7) achieves nRF≈0.10, comparable to Fusang’s spaced k-mer configuration (nRF=0.112). k-mer cosine k=5 slightly outperforms Fusang (mean nRF=0.099 vs 0.112, p=0.0002, Cohen’s d=−0.87), though the practical difference is small (1.3% absolute). This indicates that at the tested indel rate (0.02), the spaced k-mer gap pattern provides marginal benefit over contiguous k-mers. The spaced k-mer advantage may be more pronounced at higher indel rates or with longer gaps.</w:t>
      </w:r>
    </w:p>
    <w:p>
      <w:pPr>
        <w:pStyle w:val="FirstParagraph"/>
      </w:pPr>
      <w:r>
        <w:rPr>
          <w:b/>
          <w:bCs/>
        </w:rPr>
        <w:t xml:space="preserve">Regarding andi</w:t>
      </w:r>
      <w:r>
        <w:t xml:space="preserve"> </w:t>
      </w:r>
      <w:r>
        <w:t xml:space="preserve">(Haubold et al. 2015, Bioinformatics):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p>
      <w:pPr>
        <w:pStyle w:val="BodyText"/>
      </w:pPr>
      <w:r>
        <w:rPr>
          <w:b/>
          <w:bCs/>
        </w:rPr>
        <w:t xml:space="preserve">Table 8.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0.019</w:t>
            </w:r>
          </w:p>
        </w:tc>
        <w:tc>
          <w:tcPr/>
          <w:p>
            <w:pPr>
              <w:pStyle w:val="Compact"/>
            </w:pPr>
            <w:r>
              <w:t xml:space="preserve">0.096 ± 0.019</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0.077 ± 0.018</w:t>
            </w:r>
          </w:p>
        </w:tc>
        <w:tc>
          <w:tcPr/>
          <w:p>
            <w:pPr>
              <w:pStyle w:val="Compact"/>
            </w:pPr>
            <w:r>
              <w:t xml:space="preserve">0.080 ± 0.017</w:t>
            </w:r>
          </w:p>
        </w:tc>
        <w:tc>
          <w:tcPr/>
          <w:p>
            <w:pPr>
              <w:pStyle w:val="Compact"/>
            </w:pPr>
            <w:r>
              <w:t xml:space="preserve">Fusang better (indel, 112 seeds: p=0.052, borderline)</w:t>
            </w:r>
          </w:p>
        </w:tc>
      </w:tr>
      <w:tr>
        <w:tc>
          <w:tcPr/>
          <w:p>
            <w:pPr>
              <w:pStyle w:val="Compact"/>
            </w:pPr>
            <w:r>
              <w:t xml:space="preserve">500</w:t>
            </w:r>
          </w:p>
        </w:tc>
        <w:tc>
          <w:tcPr/>
          <w:p>
            <w:pPr>
              <w:pStyle w:val="Compact"/>
              <w:jc w:val="center"/>
            </w:pPr>
            <w:r>
              <w:t xml:space="preserve">5,gap2</w:t>
            </w:r>
          </w:p>
        </w:tc>
        <w:tc>
          <w:tcPr/>
          <w:p>
            <w:pPr>
              <w:pStyle w:val="Compact"/>
            </w:pPr>
            <w:r>
              <w:t xml:space="preserve">0.119 ± 0.011</w:t>
            </w:r>
          </w:p>
        </w:tc>
        <w:tc>
          <w:tcPr/>
          <w:p>
            <w:pPr>
              <w:pStyle w:val="Compact"/>
            </w:pPr>
            <w:r>
              <w:rPr>
                <w:b/>
                <w:bCs/>
              </w:rPr>
              <w:t xml:space="preserve">0.093 ± 0.013</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0.011</w:t>
            </w:r>
          </w:p>
        </w:tc>
        <w:tc>
          <w:tcPr/>
          <w:p>
            <w:pPr>
              <w:pStyle w:val="Compact"/>
            </w:pPr>
            <w:r>
              <w:rPr>
                <w:b/>
                <w:bCs/>
              </w:rPr>
              <w:t xml:space="preserve">0.091 ± 0.010</w:t>
            </w:r>
          </w:p>
        </w:tc>
        <w:tc>
          <w:tcPr/>
          <w:p>
            <w:pPr>
              <w:pStyle w:val="Compact"/>
            </w:pPr>
            <w:r>
              <w:t xml:space="preserve">FT2 better (clean)</w:t>
            </w:r>
          </w:p>
        </w:tc>
      </w:tr>
    </w:tbl>
    <w:p>
      <w:pPr>
        <w:pStyle w:val="BodyText"/>
      </w:pPr>
      <w:r>
        <w:rPr>
          <w:b/>
          <w:bCs/>
        </w:rPr>
        <w:t xml:space="preserve">Notes</w:t>
      </w:r>
      <w:r>
        <w:t xml:space="preserve">: For n&lt;1000, Notes column indicates which method performs better and the p-value when significant. For n=1000,</w:t>
      </w:r>
      <w:r>
        <w:t xml:space="preserve"> </w:t>
      </w:r>
      <w:r>
        <w:t xml:space="preserve">“Simplified”</w:t>
      </w:r>
      <w:r>
        <w:t xml:space="preserve"> </w:t>
      </w:r>
      <w:r>
        <w:t xml:space="preserve">indicates that the simplified pipeline (direct k-mer→cosine→NJ) was used rather than DCM+EPA; the winner is still FastTree2 on clean data. See Supplementary Table S6 for complete n=1000 benchmark results (30 seeds, both clean and indel conditions).</w:t>
      </w:r>
    </w:p>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p>
      <w:pPr>
        <w:pStyle w:val="BodyText"/>
      </w:pPr>
      <w:r>
        <w:rPr>
          <w:b/>
          <w:bCs/>
        </w:rPr>
        <w:t xml:space="preserve">Table 9. Real 16S rRNA validation (n=74, 1.2s, simplified pipeline, k=5,gap1).</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show that k-mer frequency features recover genuine phylogenetic signal from real sequences without parameter tuning, while delineating the sequence types — highly structured genes with strong positional conservation — where alignment-based methods retain a clear advantage.</w:t>
      </w:r>
    </w:p>
    <w:p>
      <w:pPr>
        <w:pStyle w:val="BodyText"/>
      </w:pPr>
      <w:r>
        <w:rPr>
          <w:b/>
          <w:bCs/>
        </w:rPr>
        <w:t xml:space="preserve">Table 10. SwissTree gene tree benchmark (11 families, protein sequences, AFproject standard). Per-family data: Supplementary Tables S11–S12.</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(11011)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4"/>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7) to protein sequences, confirming that k-mer frequency vectors capture phylogenetic signal more robustly than Co-phylog’s context-object matching across both sequence alphabets.</w:t>
      </w:r>
    </w:p>
    <w:p>
      <w:pPr>
        <w:numPr>
          <w:ilvl w:val="0"/>
          <w:numId w:val="1004"/>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7) and supports the interpretation that spaced k-mers provide marginal benefit at low indel rates. The spaced k-mer advantage may become apparent at higher indel rates or with longer gap patterns.</w:t>
      </w:r>
    </w:p>
    <w:p>
      <w:pPr>
        <w:numPr>
          <w:ilvl w:val="0"/>
          <w:numId w:val="1004"/>
        </w:numPr>
      </w:pPr>
      <w:r>
        <w:rPr>
          <w:b/>
          <w:bCs/>
        </w:rPr>
        <w:t xml:space="preserve">Both k-mer representation and distance metric contribute to accuracy across sequence types.</w:t>
      </w:r>
      <w:r>
        <w:t xml:space="preserve"> </w:t>
      </w:r>
      <w:r>
        <w:t xml:space="preserve">Across both DNA (Table 7) and protein (Table 10) benchmarks, the choice of distance metric (cosine vs MinHash Jaccard) has a larger effect than the choice between spaced and contiguous k-mers. The systematic evaluation of k-mer frequency vector cosine distances — across spaced and contiguous patterns and across sequence alphabets — is the core contribution of this work.</w:t>
      </w:r>
    </w:p>
    <w:p>
      <w:pPr>
        <w:pStyle w:val="FirstParagraph"/>
      </w:pPr>
      <w:r>
        <w:rPr>
          <w:b/>
          <w:bCs/>
        </w:rPr>
        <w:t xml:space="preserve">Table 11. Fusang scalability (L=500 bp, clean data, simplified pipeline for all tested n; DCM for n&gt;1000).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 (NJ)</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 (FastME)</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 (FastME)</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p>
      <w:pPr>
        <w:pStyle w:val="BodyText"/>
      </w:pPr>
      <w:r>
        <w:t xml:space="preserve">† The n=200 runtime (46.1s) was measured with Neighbor-Joining (NJ) as the tree builder; n≥500 runtimes use FastME BIONJ+BNNI, which provides substantially faster tree construction (3.5× speedup at n=200). The n=200 runtime with FastME is approximately 8–10s; the NJ baseline is reported for algorithmic comparison. All scalability benchmarks in the main text use FastME BIONJ+BNNI as the default tree builder for n≥200.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2026-10-08T17:21:32Z</dcterms:created>
  <dcterms:modified xsi:type="dcterms:W3CDTF">2026-10-08T17:21:32Z</dcterms:modified>
</cp:coreProperties>
</file>

<file path=docProps/custom.xml><?xml version="1.0" encoding="utf-8"?>
<Properties xmlns="http://schemas.openxmlformats.org/officeDocument/2006/custom-properties" xmlns:vt="http://schemas.openxmlformats.org/officeDocument/2006/docPropsVTypes"/>
</file>