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NCBI GenBank accessions for 74 16S rRNA sequences. Organism, phylum and order give the corrected NCBI Taxonomy annotation (Supplementary Note S17); length is in bp (73 sequences were successfully downloaded and analysed; one curated accession was not retrieved).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Accession</w:t>
            </w:r>
          </w:p>
        </w:tc>
        <w:tc>
          <w:tcPr/>
          <w:p>
            <w:pPr>
              <w:pStyle w:val="Compact"/>
            </w:pPr>
            <w:r>
              <w:t xml:space="preserve">Organism</w:t>
            </w:r>
          </w:p>
        </w:tc>
        <w:tc>
          <w:tcPr/>
          <w:p>
            <w:pPr>
              <w:pStyle w:val="Compact"/>
            </w:pPr>
            <w:r>
              <w:t xml:space="preserve">Phylum</w:t>
            </w:r>
          </w:p>
        </w:tc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Length (bp)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NR_074992.1</w:t>
            </w:r>
          </w:p>
        </w:tc>
        <w:tc>
          <w:tcPr/>
          <w:p>
            <w:pPr>
              <w:pStyle w:val="Compact"/>
            </w:pPr>
            <w:r>
              <w:t xml:space="preserve">Escherichia coli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NR_074993.1</w:t>
            </w:r>
          </w:p>
        </w:tc>
        <w:tc>
          <w:tcPr/>
          <w:p>
            <w:pPr>
              <w:pStyle w:val="Compact"/>
            </w:pPr>
            <w:r>
              <w:t xml:space="preserve">Salmonella enterica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NR_112083.1</w:t>
            </w:r>
          </w:p>
        </w:tc>
        <w:tc>
          <w:tcPr/>
          <w:p>
            <w:pPr>
              <w:pStyle w:val="Compact"/>
            </w:pPr>
            <w:r>
              <w:t xml:space="preserve">Pseudomonas aeruginosa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Pseudomonadales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NR_102804.1</w:t>
            </w:r>
          </w:p>
        </w:tc>
        <w:tc>
          <w:tcPr/>
          <w:p>
            <w:pPr>
              <w:pStyle w:val="Compact"/>
            </w:pPr>
            <w:r>
              <w:t xml:space="preserve">Vibrio cholerae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Vibrionales</w:t>
            </w:r>
          </w:p>
        </w:tc>
        <w:tc>
          <w:tcPr/>
          <w:p>
            <w:pPr>
              <w:pStyle w:val="Compact"/>
            </w:pPr>
            <w:r>
              <w:t xml:space="preserve">1542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NR_074910.1</w:t>
            </w:r>
          </w:p>
        </w:tc>
        <w:tc>
          <w:tcPr/>
          <w:p>
            <w:pPr>
              <w:pStyle w:val="Compact"/>
            </w:pPr>
            <w:r>
              <w:t xml:space="preserve">Klebsiella pneumoniae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NR_074794.1</w:t>
            </w:r>
          </w:p>
        </w:tc>
        <w:tc>
          <w:tcPr/>
          <w:p>
            <w:pPr>
              <w:pStyle w:val="Compact"/>
            </w:pPr>
            <w:r>
              <w:t xml:space="preserve">Yersinia pestis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Enterobacterales</w:t>
            </w:r>
          </w:p>
        </w:tc>
        <w:tc>
          <w:tcPr/>
          <w:p>
            <w:pPr>
              <w:pStyle w:val="Compact"/>
            </w:pPr>
            <w:r>
              <w:t xml:space="preserve">1534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NR_118556.1</w:t>
            </w:r>
          </w:p>
        </w:tc>
        <w:tc>
          <w:tcPr/>
          <w:p>
            <w:pPr>
              <w:pStyle w:val="Compact"/>
            </w:pPr>
            <w:r>
              <w:t xml:space="preserve">Acinetobacter baumannii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Pseudomonadales</w:t>
            </w:r>
          </w:p>
        </w:tc>
        <w:tc>
          <w:tcPr/>
          <w:p>
            <w:pPr>
              <w:pStyle w:val="Compact"/>
            </w:pPr>
            <w:r>
              <w:t xml:space="preserve">1376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NR_116027.1</w:t>
            </w:r>
          </w:p>
        </w:tc>
        <w:tc>
          <w:tcPr/>
          <w:p>
            <w:pPr>
              <w:pStyle w:val="Compact"/>
            </w:pPr>
            <w:r>
              <w:t xml:space="preserve">Shewanella oneidensis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Alteromonadales</w:t>
            </w:r>
          </w:p>
        </w:tc>
        <w:tc>
          <w:tcPr/>
          <w:p>
            <w:pPr>
              <w:pStyle w:val="Compact"/>
            </w:pPr>
            <w:r>
              <w:t xml:space="preserve">1403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NR_112629.1</w:t>
            </w:r>
          </w:p>
        </w:tc>
        <w:tc>
          <w:tcPr/>
          <w:p>
            <w:pPr>
              <w:pStyle w:val="Compac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Pasteurellales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NR_074222.1</w:t>
            </w:r>
          </w:p>
        </w:tc>
        <w:tc>
          <w:tcPr/>
          <w:p>
            <w:pPr>
              <w:pStyle w:val="Compact"/>
            </w:pPr>
            <w:r>
              <w:t xml:space="preserve">Xanthomonas campestris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Xanthomonadales</w:t>
            </w:r>
          </w:p>
        </w:tc>
        <w:tc>
          <w:tcPr/>
          <w:p>
            <w:pPr>
              <w:pStyle w:val="Compact"/>
            </w:pPr>
            <w:r>
              <w:t xml:space="preserve">1474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NR_074281.1</w:t>
            </w:r>
          </w:p>
        </w:tc>
        <w:tc>
          <w:tcPr/>
          <w:p>
            <w:pPr>
              <w:pStyle w:val="Compact"/>
            </w:pPr>
            <w:r>
              <w:t xml:space="preserve">Legionella pneumophila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Legionellales</w:t>
            </w:r>
          </w:p>
        </w:tc>
        <w:tc>
          <w:tcPr/>
          <w:p>
            <w:pPr>
              <w:pStyle w:val="Compact"/>
            </w:pPr>
            <w:r>
              <w:t xml:space="preserve">1484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NR_074297.1</w:t>
            </w:r>
          </w:p>
        </w:tc>
        <w:tc>
          <w:tcPr/>
          <w:p>
            <w:pPr>
              <w:pStyle w:val="Compact"/>
            </w:pPr>
            <w:r>
              <w:t xml:space="preserve">Coxiella burnetii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Legionellales</w:t>
            </w:r>
          </w:p>
        </w:tc>
        <w:tc>
          <w:tcPr/>
          <w:p>
            <w:pPr>
              <w:pStyle w:val="Compact"/>
            </w:pPr>
            <w:r>
              <w:t xml:space="preserve">1488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NR_102793.1</w:t>
            </w:r>
          </w:p>
        </w:tc>
        <w:tc>
          <w:tcPr/>
          <w:p>
            <w:pPr>
              <w:pStyle w:val="Compact"/>
            </w:pPr>
            <w:r>
              <w:t xml:space="preserve">Francisella tularensis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Thiotrichales</w:t>
            </w:r>
          </w:p>
        </w:tc>
        <w:tc>
          <w:tcPr/>
          <w:p>
            <w:pPr>
              <w:pStyle w:val="Compact"/>
            </w:pPr>
            <w:r>
              <w:t xml:space="preserve">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NR_112540.1</w:t>
            </w:r>
          </w:p>
        </w:tc>
        <w:tc>
          <w:tcPr/>
          <w:p>
            <w:pPr>
              <w:pStyle w:val="Compact"/>
            </w:pPr>
            <w:r>
              <w:t xml:space="preserve">Neisseria gonorrhoeae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Neisseriales</w:t>
            </w:r>
          </w:p>
        </w:tc>
        <w:tc>
          <w:tcPr/>
          <w:p>
            <w:pPr>
              <w:pStyle w:val="Compact"/>
            </w:pPr>
            <w:r>
              <w:t xml:space="preserve">1457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NR_074256.1</w:t>
            </w:r>
          </w:p>
        </w:tc>
        <w:tc>
          <w:tcPr/>
          <w:p>
            <w:pPr>
              <w:pStyle w:val="Compact"/>
            </w:pPr>
            <w:r>
              <w:t xml:space="preserve">Bordetella pertussis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Burkholderiales</w:t>
            </w:r>
          </w:p>
        </w:tc>
        <w:tc>
          <w:tcPr/>
          <w:p>
            <w:pPr>
              <w:pStyle w:val="Compact"/>
            </w:pPr>
            <w:r>
              <w:t xml:space="preserve">1478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NR_074261.1</w:t>
            </w:r>
          </w:p>
        </w:tc>
        <w:tc>
          <w:tcPr/>
          <w:p>
            <w:pPr>
              <w:pStyle w:val="Compact"/>
            </w:pPr>
            <w:r>
              <w:t xml:space="preserve">Ralstonia solanacearum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Burkholderiales</w:t>
            </w:r>
          </w:p>
        </w:tc>
        <w:tc>
          <w:tcPr/>
          <w:p>
            <w:pPr>
              <w:pStyle w:val="Compact"/>
            </w:pPr>
            <w:r>
              <w:t xml:space="preserve">1479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NR_074540.1</w:t>
            </w:r>
          </w:p>
        </w:tc>
        <w:tc>
          <w:tcPr/>
          <w:p>
            <w:pPr>
              <w:pStyle w:val="Compact"/>
            </w:pPr>
            <w:r>
              <w:t xml:space="preserve">Helicobacter pylori</w:t>
            </w:r>
          </w:p>
        </w:tc>
        <w:tc>
          <w:tcPr/>
          <w:p>
            <w:pPr>
              <w:pStyle w:val="Compact"/>
            </w:pPr>
            <w:r>
              <w:t xml:space="preserve">Campylobacterota</w:t>
            </w:r>
          </w:p>
        </w:tc>
        <w:tc>
          <w:tcPr/>
          <w:p>
            <w:pPr>
              <w:pStyle w:val="Compact"/>
            </w:pPr>
            <w:r>
              <w:t xml:space="preserve">Campylobacterales</w:t>
            </w:r>
          </w:p>
        </w:tc>
        <w:tc>
          <w:tcPr/>
          <w:p>
            <w:pPr>
              <w:pStyle w:val="Compact"/>
            </w:pPr>
            <w:r>
              <w:t xml:space="preserve">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NR_074423.1</w:t>
            </w:r>
          </w:p>
        </w:tc>
        <w:tc>
          <w:tcPr/>
          <w:p>
            <w:pPr>
              <w:pStyle w:val="Compact"/>
            </w:pPr>
            <w:r>
              <w:t xml:space="preserve">Campylobacter jejuni</w:t>
            </w:r>
          </w:p>
        </w:tc>
        <w:tc>
          <w:tcPr/>
          <w:p>
            <w:pPr>
              <w:pStyle w:val="Compact"/>
            </w:pPr>
            <w:r>
              <w:t xml:space="preserve">Campylobacterota</w:t>
            </w:r>
          </w:p>
        </w:tc>
        <w:tc>
          <w:tcPr/>
          <w:p>
            <w:pPr>
              <w:pStyle w:val="Compact"/>
            </w:pPr>
            <w:r>
              <w:t xml:space="preserve">Campylobacterales</w:t>
            </w:r>
          </w:p>
        </w:tc>
        <w:tc>
          <w:tcPr/>
          <w:p>
            <w:pPr>
              <w:pStyle w:val="Compact"/>
            </w:pPr>
            <w:r>
              <w:t xml:space="preserve">1504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NR_074249.1</w:t>
            </w:r>
          </w:p>
        </w:tc>
        <w:tc>
          <w:tcPr/>
          <w:p>
            <w:pPr>
              <w:pStyle w:val="Compact"/>
            </w:pPr>
            <w:r>
              <w:t xml:space="preserve">Rickettsia prowazekii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Rickettsiales</w:t>
            </w:r>
          </w:p>
        </w:tc>
        <w:tc>
          <w:tcPr/>
          <w:p>
            <w:pPr>
              <w:pStyle w:val="Compact"/>
            </w:pPr>
            <w:r>
              <w:t xml:space="preserve">1477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NR_074155.1</w:t>
            </w:r>
          </w:p>
        </w:tc>
        <w:tc>
          <w:tcPr/>
          <w:p>
            <w:pPr>
              <w:pStyle w:val="Compact"/>
            </w:pPr>
            <w:r>
              <w:t xml:space="preserve">Agrobacterium fabrum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Hyphomicrobiales</w:t>
            </w:r>
          </w:p>
        </w:tc>
        <w:tc>
          <w:tcPr/>
          <w:p>
            <w:pPr>
              <w:pStyle w:val="Compact"/>
            </w:pPr>
            <w:r>
              <w:t xml:space="preserve">1458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NR_118991.1</w:t>
            </w:r>
          </w:p>
        </w:tc>
        <w:tc>
          <w:tcPr/>
          <w:p>
            <w:pPr>
              <w:pStyle w:val="Compact"/>
            </w:pPr>
            <w:r>
              <w:t xml:space="preserve">Caulobacter crescentus</w:t>
            </w:r>
          </w:p>
        </w:tc>
        <w:tc>
          <w:tcPr/>
          <w:p>
            <w:pPr>
              <w:pStyle w:val="Compact"/>
            </w:pPr>
            <w:r>
              <w:t xml:space="preserve">Pseudomonadota</w:t>
            </w:r>
          </w:p>
        </w:tc>
        <w:tc>
          <w:tcPr/>
          <w:p>
            <w:pPr>
              <w:pStyle w:val="Compact"/>
            </w:pPr>
            <w:r>
              <w:t xml:space="preserve">Caulobacterales</w:t>
            </w:r>
          </w:p>
        </w:tc>
        <w:tc>
          <w:tcPr/>
          <w:p>
            <w:pPr>
              <w:pStyle w:val="Compact"/>
            </w:pPr>
            <w:r>
              <w:t xml:space="preserve">1436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NR_075044.1</w:t>
            </w:r>
          </w:p>
        </w:tc>
        <w:tc>
          <w:tcPr/>
          <w:p>
            <w:pPr>
              <w:pStyle w:val="Compact"/>
            </w:pPr>
            <w:r>
              <w:t xml:space="preserve">Bacillus subtilis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NR_075053.1</w:t>
            </w:r>
          </w:p>
        </w:tc>
        <w:tc>
          <w:tcPr/>
          <w:p>
            <w:pPr>
              <w:pStyle w:val="Compac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NR_118944.1</w:t>
            </w:r>
          </w:p>
        </w:tc>
        <w:tc>
          <w:tcPr/>
          <w:p>
            <w:pPr>
              <w:pStyle w:val="Compact"/>
            </w:pPr>
            <w:r>
              <w:t xml:space="preserve">Listeria monocytogenes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NR_074977.1</w:t>
            </w:r>
          </w:p>
        </w:tc>
        <w:tc>
          <w:tcPr/>
          <w:p>
            <w:pPr>
              <w:pStyle w:val="Compact"/>
            </w:pPr>
            <w:r>
              <w:t xml:space="preserve">Enterococcus faecalis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NR_075022.1</w:t>
            </w:r>
          </w:p>
        </w:tc>
        <w:tc>
          <w:tcPr/>
          <w:p>
            <w:pPr>
              <w:pStyle w:val="Compac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NR_074891.1</w:t>
            </w:r>
          </w:p>
        </w:tc>
        <w:tc>
          <w:tcPr/>
          <w:p>
            <w:pPr>
              <w:pStyle w:val="Compact"/>
            </w:pPr>
            <w:r>
              <w:t xml:space="preserve">Lactobacillus acidophilus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NR_074583.1</w:t>
            </w:r>
          </w:p>
        </w:tc>
        <w:tc>
          <w:tcPr/>
          <w:p>
            <w:pPr>
              <w:pStyle w:val="Compact"/>
            </w:pPr>
            <w:r>
              <w:t xml:space="preserve">Clostridium perfringens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Eubacteriales</w:t>
            </w:r>
          </w:p>
        </w:tc>
        <w:tc>
          <w:tcPr/>
          <w:p>
            <w:pPr>
              <w:pStyle w:val="Compact"/>
            </w:pPr>
            <w:r>
              <w:t xml:space="preserve">1516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NR_074510.1</w:t>
            </w:r>
          </w:p>
        </w:tc>
        <w:tc>
          <w:tcPr/>
          <w:p>
            <w:pPr>
              <w:pStyle w:val="Compact"/>
            </w:pPr>
            <w:r>
              <w:t xml:space="preserve">Clostridioides difficile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Eubacteriales</w:t>
            </w:r>
          </w:p>
        </w:tc>
        <w:tc>
          <w:tcPr/>
          <w:p>
            <w:pPr>
              <w:pStyle w:val="Compact"/>
            </w:pPr>
            <w:r>
              <w:t xml:space="preserve">1510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NR_074450.1</w:t>
            </w:r>
          </w:p>
        </w:tc>
        <w:tc>
          <w:tcPr/>
          <w:p>
            <w:pPr>
              <w:pStyle w:val="Compact"/>
            </w:pPr>
            <w:r>
              <w:t xml:space="preserve">Mycoplasma pneumoniae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Mycoplasmatales</w:t>
            </w:r>
          </w:p>
        </w:tc>
        <w:tc>
          <w:tcPr/>
          <w:p>
            <w:pPr>
              <w:pStyle w:val="Compact"/>
            </w:pPr>
            <w: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NR_114326.1</w:t>
            </w:r>
          </w:p>
        </w:tc>
        <w:tc>
          <w:tcPr/>
          <w:p>
            <w:pPr>
              <w:pStyle w:val="Compact"/>
            </w:pPr>
            <w:r>
              <w:t xml:space="preserve">Lactococcus lactis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Lactobacillales</w:t>
            </w:r>
          </w:p>
        </w:tc>
        <w:tc>
          <w:tcPr/>
          <w:p>
            <w:pPr>
              <w:pStyle w:val="Compact"/>
            </w:pPr>
            <w:r>
              <w:t xml:space="preserve">1423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NR_074656.1</w:t>
            </w:r>
          </w:p>
        </w:tc>
        <w:tc>
          <w:tcPr/>
          <w:p>
            <w:pPr>
              <w:pStyle w:val="Compact"/>
            </w:pPr>
            <w:r>
              <w:t xml:space="preserve">Geobacillus kaustophilus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Bacillales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NR_074667.1</w:t>
            </w:r>
          </w:p>
        </w:tc>
        <w:tc>
          <w:tcPr/>
          <w:p>
            <w:pPr>
              <w:pStyle w:val="Compact"/>
            </w:pPr>
            <w:r>
              <w:t xml:space="preserve">Thermoanaerobacter tengcongensis</w:t>
            </w:r>
          </w:p>
        </w:tc>
        <w:tc>
          <w:tcPr/>
          <w:p>
            <w:pPr>
              <w:pStyle w:val="Compact"/>
            </w:pPr>
            <w:r>
              <w:t xml:space="preserve">Bacillota</w:t>
            </w:r>
          </w:p>
        </w:tc>
        <w:tc>
          <w:tcPr/>
          <w:p>
            <w:pPr>
              <w:pStyle w:val="Compact"/>
            </w:pPr>
            <w:r>
              <w:t xml:space="preserve">Thermoanaerobacterales</w:t>
            </w:r>
          </w:p>
        </w:tc>
        <w:tc>
          <w:tcPr/>
          <w:p>
            <w:pPr>
              <w:pStyle w:val="Compact"/>
            </w:pPr>
            <w:r>
              <w:t xml:space="preserve">1524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NR_043378.1</w:t>
            </w:r>
          </w:p>
        </w:tc>
        <w:tc>
          <w:tcPr/>
          <w:p>
            <w:pPr>
              <w:pStyle w:val="Compact"/>
            </w:pPr>
            <w:r>
              <w:t xml:space="preserve">Mycobacterium tuberculosis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NR_041899.1</w:t>
            </w:r>
          </w:p>
        </w:tc>
        <w:tc>
          <w:tcPr/>
          <w:p>
            <w:pPr>
              <w:pStyle w:val="Compact"/>
            </w:pPr>
            <w:r>
              <w:t xml:space="preserve">Streptomyces coelicolor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Streptomycetales</w:t>
            </w:r>
          </w:p>
        </w:tc>
        <w:tc>
          <w:tcPr/>
          <w:p>
            <w:pPr>
              <w:pStyle w:val="Compact"/>
            </w:pPr>
            <w:r>
              <w:t xml:space="preserve">1439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NR_074491.1</w:t>
            </w:r>
          </w:p>
        </w:tc>
        <w:tc>
          <w:tcPr/>
          <w:p>
            <w:pPr>
              <w:pStyle w:val="Compact"/>
            </w:pPr>
            <w:r>
              <w:t xml:space="preserve">Corynebacterium diphtheriae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NR_074570.1</w:t>
            </w:r>
          </w:p>
        </w:tc>
        <w:tc>
          <w:tcPr/>
          <w:p>
            <w:pPr>
              <w:pStyle w:val="Compact"/>
            </w:pPr>
            <w:r>
              <w:t xml:space="preserve">Bifidobacterium longum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Bifidobacteriales</w:t>
            </w:r>
          </w:p>
        </w:tc>
        <w:tc>
          <w:tcPr/>
          <w:p>
            <w:pPr>
              <w:pStyle w:val="Compact"/>
            </w:pPr>
            <w:r>
              <w:t xml:space="preserve">1515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NR_074301.1</w:t>
            </w:r>
          </w:p>
        </w:tc>
        <w:tc>
          <w:tcPr/>
          <w:p>
            <w:pPr>
              <w:pStyle w:val="Compact"/>
            </w:pPr>
            <w:r>
              <w:t xml:space="preserve">Propionibacterium acnes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Propionibacteriales</w:t>
            </w:r>
          </w:p>
        </w:tc>
        <w:tc>
          <w:tcPr/>
          <w:p>
            <w:pPr>
              <w:pStyle w:val="Compact"/>
            </w:pPr>
            <w:r>
              <w:t xml:space="preserve">1488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NR_074649.1</w:t>
            </w:r>
          </w:p>
        </w:tc>
        <w:tc>
          <w:tcPr/>
          <w:p>
            <w:pPr>
              <w:pStyle w:val="Compact"/>
            </w:pPr>
            <w:r>
              <w:t xml:space="preserve">Micromonospora aurantiaca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Micromonosporales</w:t>
            </w:r>
          </w:p>
        </w:tc>
        <w:tc>
          <w:tcPr/>
          <w:p>
            <w:pPr>
              <w:pStyle w:val="Compact"/>
            </w:pPr>
            <w:r>
              <w:t xml:space="preserve">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NR_114238.1</w:t>
            </w:r>
          </w:p>
        </w:tc>
        <w:tc>
          <w:tcPr/>
          <w:p>
            <w:pPr>
              <w:pStyle w:val="Compact"/>
            </w:pPr>
            <w:r>
              <w:t xml:space="preserve">Nocardia farcinica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NR_118139.1</w:t>
            </w:r>
          </w:p>
        </w:tc>
        <w:tc>
          <w:tcPr/>
          <w:p>
            <w:pPr>
              <w:pStyle w:val="Compact"/>
            </w:pPr>
            <w:r>
              <w:t xml:space="preserve">Rhodococcus erythropolis</w:t>
            </w:r>
          </w:p>
        </w:tc>
        <w:tc>
          <w:tcPr/>
          <w:p>
            <w:pPr>
              <w:pStyle w:val="Compact"/>
            </w:pPr>
            <w:r>
              <w:t xml:space="preserve">Actinomycetota</w:t>
            </w:r>
          </w:p>
        </w:tc>
        <w:tc>
          <w:tcPr/>
          <w:p>
            <w:pPr>
              <w:pStyle w:val="Compact"/>
            </w:pPr>
            <w:r>
              <w:t xml:space="preserve">Mycobacteriales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NR_112828.1</w:t>
            </w:r>
          </w:p>
        </w:tc>
        <w:tc>
          <w:tcPr/>
          <w:p>
            <w:pPr>
              <w:pStyle w:val="Compact"/>
            </w:pPr>
            <w:r>
              <w:t xml:space="preserve">Bacteroides fragilis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NR_074661.1</w:t>
            </w:r>
          </w:p>
        </w:tc>
        <w:tc>
          <w:tcPr/>
          <w:p>
            <w:pPr>
              <w:pStyle w:val="Compact"/>
            </w:pPr>
            <w:r>
              <w:t xml:space="preserve">Porphyromonas gingivalis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NR_074553.1</w:t>
            </w:r>
          </w:p>
        </w:tc>
        <w:tc>
          <w:tcPr/>
          <w:p>
            <w:pPr>
              <w:pStyle w:val="Compact"/>
            </w:pPr>
            <w:r>
              <w:t xml:space="preserve">Prevotella intermedia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Bacteroidales</w:t>
            </w:r>
          </w:p>
        </w:tc>
        <w:tc>
          <w:tcPr/>
          <w:p>
            <w:pPr>
              <w:pStyle w:val="Compact"/>
            </w:pPr>
            <w:r>
              <w:t xml:space="preserve">1513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NR_074697.1</w:t>
            </w:r>
          </w:p>
        </w:tc>
        <w:tc>
          <w:tcPr/>
          <w:p>
            <w:pPr>
              <w:pStyle w:val="Compact"/>
            </w:pPr>
            <w:r>
              <w:t xml:space="preserve">Flavobacterium psychrophilum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Flavobacteriales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NR_074179.1</w:t>
            </w:r>
          </w:p>
        </w:tc>
        <w:tc>
          <w:tcPr/>
          <w:p>
            <w:pPr>
              <w:pStyle w:val="Compact"/>
            </w:pPr>
            <w:r>
              <w:t xml:space="preserve">Cytophaga hutchinsonii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Cytophagales</w:t>
            </w:r>
          </w:p>
        </w:tc>
        <w:tc>
          <w:tcPr/>
          <w:p>
            <w:pPr>
              <w:pStyle w:val="Compact"/>
            </w:pPr>
            <w:r>
              <w:t xml:space="preserve">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NR_074712.1</w:t>
            </w:r>
          </w:p>
        </w:tc>
        <w:tc>
          <w:tcPr/>
          <w:p>
            <w:pPr>
              <w:pStyle w:val="Compact"/>
            </w:pPr>
            <w:r>
              <w:t xml:space="preserve">Chitinophaga pinensis</w:t>
            </w:r>
          </w:p>
        </w:tc>
        <w:tc>
          <w:tcPr/>
          <w:p>
            <w:pPr>
              <w:pStyle w:val="Compact"/>
            </w:pPr>
            <w:r>
              <w:t xml:space="preserve">Bacteroidota</w:t>
            </w:r>
          </w:p>
        </w:tc>
        <w:tc>
          <w:tcPr/>
          <w:p>
            <w:pPr>
              <w:pStyle w:val="Compact"/>
            </w:pPr>
            <w:r>
              <w:t xml:space="preserve">Chitinophagales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NR_102504.1</w:t>
            </w:r>
          </w:p>
        </w:tc>
        <w:tc>
          <w:tcPr/>
          <w:p>
            <w:pPr>
              <w:pStyle w:val="Compact"/>
            </w:pPr>
            <w:r>
              <w:t xml:space="preserve">Synechocystis sp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NR_074310.1</w:t>
            </w:r>
          </w:p>
        </w:tc>
        <w:tc>
          <w:tcPr/>
          <w:p>
            <w:pPr>
              <w:pStyle w:val="Compact"/>
            </w:pPr>
            <w:r>
              <w:t xml:space="preserve">Synechococcus elongatus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NR_074307.1</w:t>
            </w:r>
          </w:p>
        </w:tc>
        <w:tc>
          <w:tcPr/>
          <w:p>
            <w:pPr>
              <w:pStyle w:val="Compact"/>
            </w:pPr>
            <w:r>
              <w:t xml:space="preserve">Prochlorococcus marinus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Synechococcales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NR_074320.1</w:t>
            </w:r>
          </w:p>
        </w:tc>
        <w:tc>
          <w:tcPr/>
          <w:p>
            <w:pPr>
              <w:pStyle w:val="Compact"/>
            </w:pPr>
            <w:r>
              <w:t xml:space="preserve">Nostoc punctiforme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Nostocales</w:t>
            </w:r>
          </w:p>
        </w:tc>
        <w:tc>
          <w:tcPr/>
          <w:p>
            <w:pPr>
              <w:pStyle w:val="Compact"/>
            </w:pPr>
            <w:r>
              <w:t xml:space="preserve">1490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NR_074273.1</w:t>
            </w:r>
          </w:p>
        </w:tc>
        <w:tc>
          <w:tcPr/>
          <w:p>
            <w:pPr>
              <w:pStyle w:val="Compact"/>
            </w:pPr>
            <w:r>
              <w:t xml:space="preserve">Anabaena cylindrica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Nostocales</w:t>
            </w:r>
          </w:p>
        </w:tc>
        <w:tc>
          <w:tcPr/>
          <w:p>
            <w:pPr>
              <w:pStyle w:val="Compact"/>
            </w:pPr>
            <w:r>
              <w:t xml:space="preserve">1481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NR_112130.1</w:t>
            </w:r>
          </w:p>
        </w:tc>
        <w:tc>
          <w:tcPr/>
          <w:p>
            <w:pPr>
              <w:pStyle w:val="Compact"/>
            </w:pPr>
            <w:r>
              <w:t xml:space="preserve">Gloeobacter violaceus</w:t>
            </w:r>
          </w:p>
        </w:tc>
        <w:tc>
          <w:tcPr/>
          <w:p>
            <w:pPr>
              <w:pStyle w:val="Compact"/>
            </w:pPr>
            <w:r>
              <w:t xml:space="preserve">Cyanobacteriota</w:t>
            </w:r>
          </w:p>
        </w:tc>
        <w:tc>
          <w:tcPr/>
          <w:p>
            <w:pPr>
              <w:pStyle w:val="Compact"/>
            </w:pPr>
            <w:r>
              <w:t xml:space="preserve">Gloeobacterales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NR_074290.1</w:t>
            </w:r>
          </w:p>
        </w:tc>
        <w:tc>
          <w:tcPr/>
          <w:p>
            <w:pPr>
              <w:pStyle w:val="Compact"/>
            </w:pPr>
            <w:r>
              <w:t xml:space="preserve">Aquifex aeolicus</w:t>
            </w:r>
          </w:p>
        </w:tc>
        <w:tc>
          <w:tcPr/>
          <w:p>
            <w:pPr>
              <w:pStyle w:val="Compact"/>
            </w:pPr>
            <w:r>
              <w:t xml:space="preserve">Aquificota</w:t>
            </w:r>
          </w:p>
        </w:tc>
        <w:tc>
          <w:tcPr/>
          <w:p>
            <w:pPr>
              <w:pStyle w:val="Compact"/>
            </w:pPr>
            <w:r>
              <w:t xml:space="preserve">Aquificales</w:t>
            </w:r>
          </w:p>
        </w:tc>
        <w:tc>
          <w:tcPr/>
          <w:p>
            <w:pPr>
              <w:pStyle w:val="Compact"/>
            </w:pPr>
            <w:r>
              <w:t xml:space="preserve">1486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NR_102969.1</w:t>
            </w:r>
          </w:p>
        </w:tc>
        <w:tc>
          <w:tcPr/>
          <w:p>
            <w:pPr>
              <w:pStyle w:val="Compact"/>
            </w:pPr>
            <w:r>
              <w:t xml:space="preserve">Hydrogenobacter thermophilus</w:t>
            </w:r>
          </w:p>
        </w:tc>
        <w:tc>
          <w:tcPr/>
          <w:p>
            <w:pPr>
              <w:pStyle w:val="Compact"/>
            </w:pPr>
            <w:r>
              <w:t xml:space="preserve">Aquificota</w:t>
            </w:r>
          </w:p>
        </w:tc>
        <w:tc>
          <w:tcPr/>
          <w:p>
            <w:pPr>
              <w:pStyle w:val="Compact"/>
            </w:pPr>
            <w:r>
              <w:t xml:space="preserve">Aquificales</w:t>
            </w:r>
          </w:p>
        </w:tc>
        <w:tc>
          <w:tcPr/>
          <w:p>
            <w:pPr>
              <w:pStyle w:val="Compact"/>
            </w:pPr>
            <w:r>
              <w:t xml:space="preserve">1532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NR_074370.1</w:t>
            </w:r>
          </w:p>
        </w:tc>
        <w:tc>
          <w:tcPr/>
          <w:p>
            <w:pPr>
              <w:pStyle w:val="Compact"/>
            </w:pPr>
            <w:r>
              <w:t xml:space="preserve">Thermotoga maritima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NR_074441.1</w:t>
            </w:r>
          </w:p>
        </w:tc>
        <w:tc>
          <w:tcPr/>
          <w:p>
            <w:pPr>
              <w:pStyle w:val="Compact"/>
            </w:pPr>
            <w:r>
              <w:t xml:space="preserve">Thermotoga neapolitana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NR_074493.1</w:t>
            </w:r>
          </w:p>
        </w:tc>
        <w:tc>
          <w:tcPr/>
          <w:p>
            <w:pPr>
              <w:pStyle w:val="Compact"/>
            </w:pPr>
            <w:r>
              <w:t xml:space="preserve">Petrotoga mobilis</w:t>
            </w:r>
          </w:p>
        </w:tc>
        <w:tc>
          <w:tcPr/>
          <w:p>
            <w:pPr>
              <w:pStyle w:val="Compact"/>
            </w:pPr>
            <w:r>
              <w:t xml:space="preserve">Thermotogota</w:t>
            </w:r>
          </w:p>
        </w:tc>
        <w:tc>
          <w:tcPr/>
          <w:p>
            <w:pPr>
              <w:pStyle w:val="Compact"/>
            </w:pPr>
            <w:r>
              <w:t xml:space="preserve">Thermotogales</w:t>
            </w:r>
          </w:p>
        </w:tc>
        <w:tc>
          <w:tcPr/>
          <w:p>
            <w:pPr>
              <w:pStyle w:val="Compact"/>
            </w:pPr>
            <w:r>
              <w:t xml:space="preserve">1509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NR_074461.1</w:t>
            </w:r>
          </w:p>
        </w:tc>
        <w:tc>
          <w:tcPr/>
          <w:p>
            <w:pPr>
              <w:pStyle w:val="Compact"/>
            </w:pPr>
            <w:r>
              <w:t xml:space="preserve">Deinococcus radiodurans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Deinococcales</w:t>
            </w:r>
          </w:p>
        </w:tc>
        <w:tc>
          <w:tcPr/>
          <w:p>
            <w:pPr>
              <w:pStyle w:val="Compact"/>
            </w:pPr>
            <w:r>
              <w:t xml:space="preserve">1508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NR_074416.1</w:t>
            </w:r>
          </w:p>
        </w:tc>
        <w:tc>
          <w:tcPr/>
          <w:p>
            <w:pPr>
              <w:pStyle w:val="Compact"/>
            </w:pPr>
            <w:r>
              <w:t xml:space="preserve">Thermus thermophilus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Thermales</w:t>
            </w:r>
          </w:p>
        </w:tc>
        <w:tc>
          <w:tcPr/>
          <w:p>
            <w:pPr>
              <w:pStyle w:val="Compact"/>
            </w:pPr>
            <w:r>
              <w:t xml:space="preserve">1503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NR_074254.1</w:t>
            </w:r>
          </w:p>
        </w:tc>
        <w:tc>
          <w:tcPr/>
          <w:p>
            <w:pPr>
              <w:pStyle w:val="Compact"/>
            </w:pPr>
            <w:r>
              <w:t xml:space="preserve">Meiothermus ruber</w:t>
            </w:r>
          </w:p>
        </w:tc>
        <w:tc>
          <w:tcPr/>
          <w:p>
            <w:pPr>
              <w:pStyle w:val="Compact"/>
            </w:pPr>
            <w:r>
              <w:t xml:space="preserve">Deinococcota</w:t>
            </w:r>
          </w:p>
        </w:tc>
        <w:tc>
          <w:tcPr/>
          <w:p>
            <w:pPr>
              <w:pStyle w:val="Compact"/>
            </w:pPr>
            <w:r>
              <w:t xml:space="preserve">Thermales</w:t>
            </w:r>
          </w:p>
        </w:tc>
        <w:tc>
          <w:tcPr/>
          <w:p>
            <w:pPr>
              <w:pStyle w:val="Compact"/>
            </w:pPr>
            <w:r>
              <w:t xml:space="preserve">1478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NR_074333.1</w:t>
            </w:r>
          </w:p>
        </w:tc>
        <w:tc>
          <w:tcPr/>
          <w:p>
            <w:pPr>
              <w:pStyle w:val="Compact"/>
            </w:pPr>
            <w:r>
              <w:t xml:space="preserve">Borrelia burgdorferi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Spirochaetales</w:t>
            </w:r>
          </w:p>
        </w:tc>
        <w:tc>
          <w:tcPr/>
          <w:p>
            <w:pPr>
              <w:pStyle w:val="Compact"/>
            </w:pPr>
            <w:r>
              <w:t xml:space="preserve">1492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NR_115781.1</w:t>
            </w:r>
          </w:p>
        </w:tc>
        <w:tc>
          <w:tcPr/>
          <w:p>
            <w:pPr>
              <w:pStyle w:val="Compact"/>
            </w:pPr>
            <w:r>
              <w:t xml:space="preserve">Treponema pallidum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Spirochaetales</w:t>
            </w:r>
          </w:p>
        </w:tc>
        <w:tc>
          <w:tcPr/>
          <w:p>
            <w:pPr>
              <w:pStyle w:val="Compac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NR_074292.1</w:t>
            </w:r>
          </w:p>
        </w:tc>
        <w:tc>
          <w:tcPr/>
          <w:p>
            <w:pPr>
              <w:pStyle w:val="Compact"/>
            </w:pPr>
            <w:r>
              <w:t xml:space="preserve">Leptospira interrogans</w:t>
            </w:r>
          </w:p>
        </w:tc>
        <w:tc>
          <w:tcPr/>
          <w:p>
            <w:pPr>
              <w:pStyle w:val="Compact"/>
            </w:pPr>
            <w:r>
              <w:t xml:space="preserve">Spirochaetota</w:t>
            </w:r>
          </w:p>
        </w:tc>
        <w:tc>
          <w:tcPr/>
          <w:p>
            <w:pPr>
              <w:pStyle w:val="Compact"/>
            </w:pPr>
            <w:r>
              <w:t xml:space="preserve">Leptospirales</w:t>
            </w:r>
          </w:p>
        </w:tc>
        <w:tc>
          <w:tcPr/>
          <w:p>
            <w:pPr>
              <w:pStyle w:val="Compact"/>
            </w:pPr>
            <w:r>
              <w:t xml:space="preserve">1486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NR_074718.1</w:t>
            </w:r>
          </w:p>
        </w:tc>
        <w:tc>
          <w:tcPr/>
          <w:p>
            <w:pPr>
              <w:pStyle w:val="Compact"/>
            </w:pPr>
            <w:r>
              <w:t xml:space="preserve">Chlamydia trachomatis</w:t>
            </w:r>
          </w:p>
        </w:tc>
        <w:tc>
          <w:tcPr/>
          <w:p>
            <w:pPr>
              <w:pStyle w:val="Compact"/>
            </w:pPr>
            <w:r>
              <w:t xml:space="preserve">Chlamydiota</w:t>
            </w:r>
          </w:p>
        </w:tc>
        <w:tc>
          <w:tcPr/>
          <w:p>
            <w:pPr>
              <w:pStyle w:val="Compact"/>
            </w:pPr>
            <w:r>
              <w:t xml:space="preserve">Chlamydiales</w:t>
            </w:r>
          </w:p>
        </w:tc>
        <w:tc>
          <w:tcPr/>
          <w:p>
            <w:pPr>
              <w:pStyle w:val="Compact"/>
            </w:pPr>
            <w:r>
              <w:t xml:space="preserve">1528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NR_074702.1</w:t>
            </w:r>
          </w:p>
        </w:tc>
        <w:tc>
          <w:tcPr/>
          <w:p>
            <w:pPr>
              <w:pStyle w:val="Compact"/>
            </w:pPr>
            <w:r>
              <w:t xml:space="preserve">Chlamydophila pneumoniae</w:t>
            </w:r>
          </w:p>
        </w:tc>
        <w:tc>
          <w:tcPr/>
          <w:p>
            <w:pPr>
              <w:pStyle w:val="Compact"/>
            </w:pPr>
            <w:r>
              <w:t xml:space="preserve">Chlamydiota</w:t>
            </w:r>
          </w:p>
        </w:tc>
        <w:tc>
          <w:tcPr/>
          <w:p>
            <w:pPr>
              <w:pStyle w:val="Compact"/>
            </w:pPr>
            <w:r>
              <w:t xml:space="preserve">Chlamydiales</w:t>
            </w:r>
          </w:p>
        </w:tc>
        <w:tc>
          <w:tcPr/>
          <w:p>
            <w:pPr>
              <w:pStyle w:val="Compact"/>
            </w:pPr>
            <w:r>
              <w:t xml:space="preserve">1527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NR_074175.1</w:t>
            </w:r>
          </w:p>
        </w:tc>
        <w:tc>
          <w:tcPr/>
          <w:p>
            <w:pPr>
              <w:pStyle w:val="Compact"/>
            </w:pPr>
            <w:r>
              <w:t xml:space="preserve">Methanocaldococcus jannaschii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Methanococcales</w:t>
            </w:r>
          </w:p>
        </w:tc>
        <w:tc>
          <w:tcPr/>
          <w:p>
            <w:pPr>
              <w:pStyle w:val="Compac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NR_074124.1</w:t>
            </w:r>
          </w:p>
        </w:tc>
        <w:tc>
          <w:tcPr/>
          <w:p>
            <w:pPr>
              <w:pStyle w:val="Compact"/>
            </w:pPr>
            <w:r>
              <w:t xml:space="preserve">Methanosarcina mazei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Methanosarcinales</w:t>
            </w:r>
          </w:p>
        </w:tc>
        <w:tc>
          <w:tcPr/>
          <w:p>
            <w:pPr>
              <w:pStyle w:val="Compact"/>
            </w:pPr>
            <w:r>
              <w:t xml:space="preserve">1442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NR_074304.1</w:t>
            </w:r>
          </w:p>
        </w:tc>
        <w:tc>
          <w:tcPr/>
          <w:p>
            <w:pPr>
              <w:pStyle w:val="Compact"/>
            </w:pPr>
            <w:r>
              <w:t xml:space="preserve">Methanobrevibacter smithii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Methanobacteriales</w:t>
            </w:r>
          </w:p>
        </w:tc>
        <w:tc>
          <w:tcPr/>
          <w:p>
            <w:pPr>
              <w:pStyle w:val="Compac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NR_074238.1</w:t>
            </w:r>
          </w:p>
        </w:tc>
        <w:tc>
          <w:tcPr/>
          <w:p>
            <w:pPr>
              <w:pStyle w:val="Compact"/>
            </w:pPr>
            <w:r>
              <w:t xml:space="preserve">Pyrococcus furiosus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Thermococcales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NR_074164.1</w:t>
            </w:r>
          </w:p>
        </w:tc>
        <w:tc>
          <w:tcPr/>
          <w:p>
            <w:pPr>
              <w:pStyle w:val="Compact"/>
            </w:pPr>
            <w:r>
              <w:t xml:space="preserve">Thermoplasma acidophilum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Thermoplasmatales</w:t>
            </w:r>
          </w:p>
        </w:tc>
        <w:tc>
          <w:tcPr/>
          <w:p>
            <w:pPr>
              <w:pStyle w:val="Compact"/>
            </w:pPr>
            <w:r>
              <w:t xml:space="preserve">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NR_074173.1</w:t>
            </w:r>
          </w:p>
        </w:tc>
        <w:tc>
          <w:tcPr/>
          <w:p>
            <w:pPr>
              <w:pStyle w:val="Compact"/>
            </w:pPr>
            <w:r>
              <w:t xml:space="preserve">Halobacterium salinarum</w:t>
            </w:r>
          </w:p>
        </w:tc>
        <w:tc>
          <w:tcPr/>
          <w:p>
            <w:pPr>
              <w:pStyle w:val="Compact"/>
            </w:pPr>
            <w:r>
              <w:t xml:space="preserve">Euryarchaeota</w:t>
            </w:r>
          </w:p>
        </w:tc>
        <w:tc>
          <w:tcPr/>
          <w:p>
            <w:pPr>
              <w:pStyle w:val="Compact"/>
            </w:pPr>
            <w:r>
              <w:t xml:space="preserve">Halobacteriales</w:t>
            </w:r>
          </w:p>
        </w:tc>
        <w:tc>
          <w:tcPr/>
          <w:p>
            <w:pPr>
              <w:pStyle w:val="Compact"/>
            </w:pPr>
            <w:r>
              <w:t xml:space="preserve">1465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NR_074319.1</w:t>
            </w:r>
          </w:p>
        </w:tc>
        <w:tc>
          <w:tcPr/>
          <w:p>
            <w:pPr>
              <w:pStyle w:val="Compact"/>
            </w:pPr>
            <w:r>
              <w:t xml:space="preserve">Sulfolobus solfataricus</w:t>
            </w:r>
          </w:p>
        </w:tc>
        <w:tc>
          <w:tcPr/>
          <w:p>
            <w:pPr>
              <w:pStyle w:val="Compact"/>
            </w:pPr>
            <w:r>
              <w:t xml:space="preserve">Thermoproteota</w:t>
            </w:r>
          </w:p>
        </w:tc>
        <w:tc>
          <w:tcPr/>
          <w:p>
            <w:pPr>
              <w:pStyle w:val="Compact"/>
            </w:pPr>
            <w:r>
              <w:t xml:space="preserve">Sulfolobales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NR_102936.1</w:t>
            </w:r>
          </w:p>
        </w:tc>
        <w:tc>
          <w:tcPr/>
          <w:p>
            <w:pPr>
              <w:pStyle w:val="Compact"/>
            </w:pPr>
            <w:r>
              <w:t xml:space="preserve">Nitrosopumilus maritimus</w:t>
            </w:r>
          </w:p>
        </w:tc>
        <w:tc>
          <w:tcPr/>
          <w:p>
            <w:pPr>
              <w:pStyle w:val="Compact"/>
            </w:pPr>
            <w:r>
              <w:t xml:space="preserve">Thaumarchaeota</w:t>
            </w:r>
          </w:p>
        </w:tc>
        <w:tc>
          <w:tcPr/>
          <w:p>
            <w:pPr>
              <w:pStyle w:val="Compact"/>
            </w:pPr>
            <w:r>
              <w:t xml:space="preserve">Nitrosopumilales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Complete k/gap parameter scan on indel data (indel rate=0.02): nRF for k=4–8 × gap=none/gap1–gap4 at n=100/200. Single dataset per scale (n=100:</w:t>
      </w:r>
      <w:r>
        <w:t xml:space="preserve"> </w:t>
      </w:r>
      <w:r>
        <w:rPr>
          <w:rStyle w:val="VerbatimChar"/>
        </w:rPr>
        <w:t xml:space="preserve">test_indel_n100_i002.fasta</w:t>
      </w:r>
      <w:r>
        <w:t xml:space="preserve">; n=200:</w:t>
      </w:r>
      <w:r>
        <w:t xml:space="preserve"> </w:t>
      </w:r>
      <w:r>
        <w:rPr>
          <w:rStyle w:val="VerbatimChar"/>
        </w:rPr>
        <w:t xml:space="preserve">test_indel_n200_i0.02.fasta</w:t>
      </w:r>
      <w:r>
        <w:t xml:space="preserve">), Fusang pipeline (k-mer → FastME tree), nRF vs the true tree. Source:</w:t>
      </w:r>
      <w:r>
        <w:t xml:space="preserve"> </w:t>
      </w:r>
      <w:r>
        <w:rPr>
          <w:rStyle w:val="VerbatimChar"/>
        </w:rPr>
        <w:t xml:space="preserve">indel_k_gap_scan_results.tsv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0.108247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0.077320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0.067010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0.087629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0.097938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0.088832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0.063452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0.063452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0.088832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0.058376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0.058376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0.048223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0.043147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gap3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gap4</w:t>
            </w:r>
          </w:p>
        </w:tc>
        <w:tc>
          <w:tcPr/>
          <w:p>
            <w:pPr>
              <w:pStyle w:val="Compact"/>
            </w:pPr>
            <w:r>
              <w:t xml:space="preserve">0.053299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DCM degradation step-by-step: nRF at each pipeline stage (n=200, seed=42, indel rate=0.02), standard root-independent unrooted RF (max RF = 2(n−3) = 394). The step-5 rows give the full DCM sweep (max_group_size=10–150, NJ subtrees, 11 configurations; range 0.096–0.523, mean 0.233 ± 0.126), so the conclusion that EPA grafting dominates the error does not depend on that choice. Source:</w:t>
      </w:r>
      <w:r>
        <w:t xml:space="preserve"> </w:t>
      </w:r>
      <w:r>
        <w:rPr>
          <w:rStyle w:val="VerbatimChar"/>
        </w:rPr>
        <w:t xml:space="preserve">repro_ablations/ablation_dcm_seed42_indel_nrfstandard.json</w:t>
      </w:r>
      <w:r>
        <w:t xml:space="preserve">. The stage values printed in earlier versions are withdrawn (see Results).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 stage / configuration</w:t>
            </w:r>
          </w:p>
        </w:tc>
        <w:tc>
          <w:tcPr/>
          <w:p>
            <w:pPr>
              <w:pStyle w:val="Compact"/>
            </w:pPr>
            <w:r>
              <w:t xml:space="preserve">RF (splits)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Simplified pipeline (k-mer cosine → NJ)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FastME on the same distance matrix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v2 distance matrix → NJ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TF-IDF weighting → NJ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(max_group_size=10, NJ subtrees)</w:t>
            </w:r>
          </w:p>
        </w:tc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(max_group_size=20, NJ subtrees)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(max_group_size=25, NJ subtrees)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(max_group_size=30, NJ subtrees)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(max_group_size=40, NJ subtrees)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(max_group_size=50, NJ subtrees)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(max_group_size=60, NJ subtrees)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(max_group_size=80, NJ subtrees)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(max_group_size=100, NJ subtrees)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(max_group_size=120, NJ subtrees)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DCM+EPA (max_group_size=150, NJ subtrees)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MAFFT+FastTree2 (MSA+ML reference)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130-seed benchmark raw data: per-seed nRF for Fusang and FastTree2 at n=200, indel rate=0.02 (seeds 100–229, INDELible; standard root-independent unrooted RF vs the true tree; Fusang 0.1990 ± 0.0296, FastTree2 0.2047 ± 0.0299). Source:</w:t>
      </w:r>
      <w:r>
        <w:t xml:space="preserve"> </w:t>
      </w:r>
      <w:r>
        <w:rPr>
          <w:rStyle w:val="VerbatimChar"/>
        </w:rPr>
        <w:t xml:space="preserve">indelible_n200_indel/bench_n200_indel_130seeds_nrfstandard.csv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nRF Fusang</w:t>
            </w:r>
          </w:p>
        </w:tc>
        <w:tc>
          <w:tcPr/>
          <w:p>
            <w:pPr>
              <w:pStyle w:val="Compact"/>
            </w:pPr>
            <w:r>
              <w:t xml:space="preserve">nRF FastTree2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Adaptive parameter stability: 5-repeat validation of auto-selected k,gap across n=20/50/100/200/500. All 5 stability repeats at every scale returned identical k,gap selections and nRF within 0.005 units of each other (see Results,</w:t>
      </w:r>
      <w:r>
        <w:t xml:space="preserve"> </w:t>
      </w:r>
      <w:r>
        <w:t xml:space="preserve">‘Parameter stability and reproducibility’</w:t>
      </w:r>
      <w:r>
        <w:t xml:space="preserve">; selection rule: k=4,gap1 for n≤100, k=5,gap2 for n&gt;100). These five rows are the auto-selection outcomes recorded in the figure generator (</w:t>
      </w:r>
      <w:r>
        <w:rPr>
          <w:rStyle w:val="VerbatimChar"/>
        </w:rPr>
        <w:t xml:space="preserve">generate_fig4_v3.py</w:t>
      </w:r>
      <w:r>
        <w:t xml:space="preserve">, panel C); no per-repeat raw records are archived for this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selected k</w:t>
            </w:r>
          </w:p>
        </w:tc>
        <w:tc>
          <w:tcPr/>
          <w:p>
            <w:pPr>
              <w:pStyle w:val="Compact"/>
            </w:pPr>
            <w:r>
              <w:t xml:space="preserve">selected gap</w:t>
            </w:r>
          </w:p>
        </w:tc>
        <w:tc>
          <w:tcPr/>
          <w:p>
            <w:pPr>
              <w:pStyle w:val="Compact"/>
            </w:pPr>
            <w:r>
              <w:t xml:space="preserve">repeats with identical selection</w:t>
            </w:r>
          </w:p>
        </w:tc>
        <w:tc>
          <w:tcPr/>
          <w:p>
            <w:pPr>
              <w:pStyle w:val="Compact"/>
            </w:pPr>
            <w:r>
              <w:t xml:space="preserve">max nRF deviation across repeats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gap1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gap2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&lt; 0.005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Multi-seed benchmark at n=500 (30 seeds, seeds 500–529) and n=1000 (30 seeds, seeds 1000–1029): all conditions complete including n=1000 indel data (standard root-independent unrooted RF vs the true tree). All raw nRF values and statistical tests are provided for reproducibility. Sources:</w:t>
      </w:r>
      <w:r>
        <w:t xml:space="preserve"> </w:t>
      </w:r>
      <w:r>
        <w:rPr>
          <w:rStyle w:val="VerbatimChar"/>
        </w:rPr>
        <w:t xml:space="preserve">table1_nrfstandard/{n500_clean,n500_indel,n1000_clean,n1000_indel}_nrfstandard.csv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nRF Fusang</w:t>
            </w:r>
          </w:p>
        </w:tc>
        <w:tc>
          <w:tcPr/>
          <w:p>
            <w:pPr>
              <w:pStyle w:val="Compact"/>
            </w:pPr>
            <w:r>
              <w:t xml:space="preserve">nRF FastTree2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0.2294</w:t>
            </w:r>
          </w:p>
        </w:tc>
        <w:tc>
          <w:tcPr/>
          <w:p>
            <w:pPr>
              <w:pStyle w:val="Compact"/>
            </w:pPr>
            <w:r>
              <w:t xml:space="preserve">0.2264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0.2113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  <w:tc>
          <w:tcPr/>
          <w:p>
            <w:pPr>
              <w:pStyle w:val="Compact"/>
            </w:pPr>
            <w:r>
              <w:t xml:space="preserve">0.1871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0.2002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0.2757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0.2696</w:t>
            </w:r>
          </w:p>
        </w:tc>
        <w:tc>
          <w:tcPr/>
          <w:p>
            <w:pPr>
              <w:pStyle w:val="Compact"/>
            </w:pPr>
            <w:r>
              <w:t xml:space="preserve">0.1992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0.2334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509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0.2535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0.2334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0.2575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0.1932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0.2535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0.2475</w:t>
            </w:r>
          </w:p>
        </w:tc>
        <w:tc>
          <w:tcPr/>
          <w:p>
            <w:pPr>
              <w:pStyle w:val="Compact"/>
            </w:pPr>
            <w:r>
              <w:t xml:space="preserve">0.2223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519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  <w:tc>
          <w:tcPr/>
          <w:p>
            <w:pPr>
              <w:pStyle w:val="Compact"/>
            </w:pPr>
            <w:r>
              <w:t xml:space="preserve">0.2133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0.1962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0.2354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0.2656</w:t>
            </w:r>
          </w:p>
        </w:tc>
        <w:tc>
          <w:tcPr/>
          <w:p>
            <w:pPr>
              <w:pStyle w:val="Compact"/>
            </w:pPr>
            <w:r>
              <w:t xml:space="preserve">0.2384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0.2575</w:t>
            </w:r>
          </w:p>
        </w:tc>
        <w:tc>
          <w:tcPr/>
          <w:p>
            <w:pPr>
              <w:pStyle w:val="Compact"/>
            </w:pPr>
            <w:r>
              <w:t xml:space="preserve">0.2203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0.2294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0.2676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0.2414</w:t>
            </w:r>
          </w:p>
        </w:tc>
        <w:tc>
          <w:tcPr/>
          <w:p>
            <w:pPr>
              <w:pStyle w:val="Compac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  <w:tc>
          <w:tcPr/>
          <w:p>
            <w:pPr>
              <w:pStyle w:val="Compact"/>
            </w:pPr>
            <w:r>
              <w:t xml:space="preserve">0.1881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0.1992</w:t>
            </w:r>
          </w:p>
        </w:tc>
        <w:tc>
          <w:tcPr/>
          <w:p>
            <w:pPr>
              <w:pStyle w:val="Compact"/>
            </w:pPr>
            <w:r>
              <w:t xml:space="preserve">0.2193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0.2153</w:t>
            </w:r>
          </w:p>
        </w:tc>
        <w:tc>
          <w:tcPr/>
          <w:p>
            <w:pPr>
              <w:pStyle w:val="Compact"/>
            </w:pPr>
            <w:r>
              <w:t xml:space="preserve">0.2314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0.2485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  <w:tc>
          <w:tcPr/>
          <w:p>
            <w:pPr>
              <w:pStyle w:val="Compact"/>
            </w:pPr>
            <w:r>
              <w:t xml:space="preserve">0.2133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0.2394</w:t>
            </w:r>
          </w:p>
        </w:tc>
        <w:tc>
          <w:tcPr/>
          <w:p>
            <w:pPr>
              <w:pStyle w:val="Compact"/>
            </w:pPr>
            <w:r>
              <w:t xml:space="preserve">0.2203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539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0.2233</w:t>
            </w:r>
          </w:p>
        </w:tc>
        <w:tc>
          <w:tcPr/>
          <w:p>
            <w:pPr>
              <w:pStyle w:val="Compact"/>
            </w:pPr>
            <w:r>
              <w:t xml:space="preserve">0.2213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  <w:tc>
          <w:tcPr/>
          <w:p>
            <w:pPr>
              <w:pStyle w:val="Compact"/>
            </w:pPr>
            <w:r>
              <w:t xml:space="preserve">0.2143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0.2173</w:t>
            </w:r>
          </w:p>
        </w:tc>
        <w:tc>
          <w:tcPr/>
          <w:p>
            <w:pPr>
              <w:pStyle w:val="Compact"/>
            </w:pPr>
            <w:r>
              <w:t xml:space="preserve">0.1901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0.1972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0.2414</w:t>
            </w:r>
          </w:p>
        </w:tc>
        <w:tc>
          <w:tcPr/>
          <w:p>
            <w:pPr>
              <w:pStyle w:val="Compact"/>
            </w:pPr>
            <w:r>
              <w:t xml:space="preserve">0.1861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  <w:tc>
          <w:tcPr/>
          <w:p>
            <w:pPr>
              <w:pStyle w:val="Compact"/>
            </w:pPr>
            <w:r>
              <w:t xml:space="preserve">0.1922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0.1690</w:t>
            </w:r>
          </w:p>
        </w:tc>
        <w:tc>
          <w:tcPr/>
          <w:p>
            <w:pPr>
              <w:pStyle w:val="Compact"/>
            </w:pPr>
            <w:r>
              <w:t xml:space="preserve">0.1942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549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  <w:tc>
          <w:tcPr/>
          <w:p>
            <w:pPr>
              <w:pStyle w:val="Compact"/>
            </w:pPr>
            <w:r>
              <w:t xml:space="preserve">0.2072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  <w:tc>
          <w:tcPr/>
          <w:p>
            <w:pPr>
              <w:pStyle w:val="Compact"/>
            </w:pPr>
            <w:r>
              <w:t xml:space="preserve">0.2093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0.2052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  <w:tc>
          <w:tcPr/>
          <w:p>
            <w:pPr>
              <w:pStyle w:val="Compact"/>
            </w:pPr>
            <w:r>
              <w:t xml:space="preserve">0.1952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553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0.2193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  <w:tc>
          <w:tcPr/>
          <w:p>
            <w:pPr>
              <w:pStyle w:val="Compact"/>
            </w:pPr>
            <w:r>
              <w:t xml:space="preserve">0.2012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0.2153</w:t>
            </w:r>
          </w:p>
        </w:tc>
        <w:tc>
          <w:tcPr/>
          <w:p>
            <w:pPr>
              <w:pStyle w:val="Compact"/>
            </w:pPr>
            <w:r>
              <w:t xml:space="preserve">0.2123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0.1891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0.2274</w:t>
            </w:r>
          </w:p>
        </w:tc>
        <w:tc>
          <w:tcPr/>
          <w:p>
            <w:pPr>
              <w:pStyle w:val="Compact"/>
            </w:pPr>
            <w:r>
              <w:t xml:space="preserve">0.2465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558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0.1932</w:t>
            </w:r>
          </w:p>
        </w:tc>
        <w:tc>
          <w:tcPr/>
          <w:p>
            <w:pPr>
              <w:pStyle w:val="Compact"/>
            </w:pPr>
            <w:r>
              <w:t xml:space="preserve">0.2254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559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0.1831</w:t>
            </w:r>
          </w:p>
        </w:tc>
        <w:tc>
          <w:tcPr/>
          <w:p>
            <w:pPr>
              <w:pStyle w:val="Compact"/>
            </w:pPr>
            <w:r>
              <w:t xml:space="preserve">0.1881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0.2818</w:t>
            </w:r>
          </w:p>
        </w:tc>
        <w:tc>
          <w:tcPr/>
          <w:p>
            <w:pPr>
              <w:pStyle w:val="Compac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0.1946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0.2598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0.2969</w:t>
            </w:r>
          </w:p>
        </w:tc>
        <w:tc>
          <w:tcPr/>
          <w:p>
            <w:pPr>
              <w:pStyle w:val="Compact"/>
            </w:pPr>
            <w:r>
              <w:t xml:space="preserve">0.2447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0.2879</w:t>
            </w:r>
          </w:p>
        </w:tc>
        <w:tc>
          <w:tcPr/>
          <w:p>
            <w:pPr>
              <w:pStyle w:val="Compact"/>
            </w:pPr>
            <w:r>
              <w:t xml:space="preserve">0.2452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0.2889</w:t>
            </w:r>
          </w:p>
        </w:tc>
        <w:tc>
          <w:tcPr/>
          <w:p>
            <w:pPr>
              <w:pStyle w:val="Compact"/>
            </w:pPr>
            <w:r>
              <w:t xml:space="preserve">0.2111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0.2598</w:t>
            </w:r>
          </w:p>
        </w:tc>
        <w:tc>
          <w:tcPr/>
          <w:p>
            <w:pPr>
              <w:pStyle w:val="Compact"/>
            </w:pPr>
            <w:r>
              <w:t xml:space="preserve">0.2272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0.2668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0.2628</w:t>
            </w:r>
          </w:p>
        </w:tc>
        <w:tc>
          <w:tcPr/>
          <w:p>
            <w:pPr>
              <w:pStyle w:val="Compact"/>
            </w:pPr>
            <w:r>
              <w:t xml:space="preserve">0.2021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0.2101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0.2397</w:t>
            </w:r>
          </w:p>
        </w:tc>
        <w:tc>
          <w:tcPr/>
          <w:p>
            <w:pPr>
              <w:pStyle w:val="Compact"/>
            </w:pPr>
            <w:r>
              <w:t xml:space="preserve">0.1851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0.2618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0.1936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0.1951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1019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0.2287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0.2477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0.2407</w:t>
            </w:r>
          </w:p>
        </w:tc>
        <w:tc>
          <w:tcPr/>
          <w:p>
            <w:pPr>
              <w:pStyle w:val="Compact"/>
            </w:pPr>
            <w:r>
              <w:t xml:space="preserve">0.2001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0.2417</w:t>
            </w:r>
          </w:p>
        </w:tc>
        <w:tc>
          <w:tcPr/>
          <w:p>
            <w:pPr>
              <w:pStyle w:val="Compact"/>
            </w:pPr>
            <w:r>
              <w:t xml:space="preserve">0.2016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0.2447</w:t>
            </w:r>
          </w:p>
        </w:tc>
        <w:tc>
          <w:tcPr/>
          <w:p>
            <w:pPr>
              <w:pStyle w:val="Compact"/>
            </w:pPr>
            <w:r>
              <w:t xml:space="preserve">0.2031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0.2477</w:t>
            </w:r>
          </w:p>
        </w:tc>
        <w:tc>
          <w:tcPr/>
          <w:p>
            <w:pPr>
              <w:pStyle w:val="Compact"/>
            </w:pPr>
            <w:r>
              <w:t xml:space="preserve">0.1891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0.2748</w:t>
            </w:r>
          </w:p>
        </w:tc>
        <w:tc>
          <w:tcPr/>
          <w:p>
            <w:pPr>
              <w:pStyle w:val="Compact"/>
            </w:pPr>
            <w:r>
              <w:t xml:space="preserve">0.2322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0.2758</w:t>
            </w:r>
          </w:p>
        </w:tc>
        <w:tc>
          <w:tcPr/>
          <w:p>
            <w:pPr>
              <w:pStyle w:val="Compact"/>
            </w:pPr>
            <w:r>
              <w:t xml:space="preserve">0.2061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0.2497</w:t>
            </w:r>
          </w:p>
        </w:tc>
        <w:tc>
          <w:tcPr/>
          <w:p>
            <w:pPr>
              <w:pStyle w:val="Compact"/>
            </w:pPr>
            <w:r>
              <w:t xml:space="preserve">0.2076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0.2678</w:t>
            </w:r>
          </w:p>
        </w:tc>
        <w:tc>
          <w:tcPr/>
          <w:p>
            <w:pPr>
              <w:pStyle w:val="Compact"/>
            </w:pPr>
            <w:r>
              <w:t xml:space="preserve">0.2267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1029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0.2528</w:t>
            </w:r>
          </w:p>
        </w:tc>
        <w:tc>
          <w:tcPr/>
          <w:p>
            <w:pPr>
              <w:pStyle w:val="Compact"/>
            </w:pPr>
            <w:r>
              <w:t xml:space="preserve">0.2167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0.2558</w:t>
            </w:r>
          </w:p>
        </w:tc>
        <w:tc>
          <w:tcPr/>
          <w:p>
            <w:pPr>
              <w:pStyle w:val="Compac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0.2528</w:t>
            </w:r>
          </w:p>
        </w:tc>
        <w:tc>
          <w:tcPr/>
          <w:p>
            <w:pPr>
              <w:pStyle w:val="Compact"/>
            </w:pPr>
            <w:r>
              <w:t xml:space="preserve">0.2197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0.2287</w:t>
            </w:r>
          </w:p>
        </w:tc>
        <w:tc>
          <w:tcPr/>
          <w:p>
            <w:pPr>
              <w:pStyle w:val="Compact"/>
            </w:pPr>
            <w:r>
              <w:t xml:space="preserve">0.2126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0.2156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  <w:tc>
          <w:tcPr/>
          <w:p>
            <w:pPr>
              <w:pStyle w:val="Compact"/>
            </w:pPr>
            <w:r>
              <w:t xml:space="preserve">0.2116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0.2367</w:t>
            </w:r>
          </w:p>
        </w:tc>
        <w:tc>
          <w:tcPr/>
          <w:p>
            <w:pPr>
              <w:pStyle w:val="Compact"/>
            </w:pPr>
            <w:r>
              <w:t xml:space="preserve">0.2187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0.2327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0.2126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0.2347</w:t>
            </w:r>
          </w:p>
        </w:tc>
        <w:tc>
          <w:tcPr/>
          <w:p>
            <w:pPr>
              <w:pStyle w:val="Compact"/>
            </w:pPr>
            <w:r>
              <w:t xml:space="preserve">0.2096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0.2227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0.2497</w:t>
            </w:r>
          </w:p>
        </w:tc>
        <w:tc>
          <w:tcPr/>
          <w:p>
            <w:pPr>
              <w:pStyle w:val="Compact"/>
            </w:pPr>
            <w:r>
              <w:t xml:space="preserve">0.2227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0.2247</w:t>
            </w:r>
          </w:p>
        </w:tc>
        <w:tc>
          <w:tcPr/>
          <w:p>
            <w:pPr>
              <w:pStyle w:val="Compact"/>
            </w:pPr>
            <w:r>
              <w:t xml:space="preserve">0.2247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0.2066</w:t>
            </w:r>
          </w:p>
        </w:tc>
        <w:tc>
          <w:tcPr/>
          <w:p>
            <w:pPr>
              <w:pStyle w:val="Compact"/>
            </w:pPr>
            <w:r>
              <w:t xml:space="preserve">0.1926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0.2177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0.2257</w:t>
            </w:r>
          </w:p>
        </w:tc>
        <w:tc>
          <w:tcPr/>
          <w:p>
            <w:pPr>
              <w:pStyle w:val="Compact"/>
            </w:pPr>
            <w:r>
              <w:t xml:space="preserve">0.2001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0.2377</w:t>
            </w:r>
          </w:p>
        </w:tc>
        <w:tc>
          <w:tcPr/>
          <w:p>
            <w:pPr>
              <w:pStyle w:val="Compact"/>
            </w:pPr>
            <w:r>
              <w:t xml:space="preserve">0.2222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0.2267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0.1996</w:t>
            </w:r>
          </w:p>
        </w:tc>
        <w:tc>
          <w:tcPr/>
          <w:p>
            <w:pPr>
              <w:pStyle w:val="Compact"/>
            </w:pPr>
            <w:r>
              <w:t xml:space="preserve">0.1951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0.2197</w:t>
            </w:r>
          </w:p>
        </w:tc>
        <w:tc>
          <w:tcPr/>
          <w:p>
            <w:pPr>
              <w:pStyle w:val="Compact"/>
            </w:pPr>
            <w:r>
              <w:t xml:space="preserve">0.1941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0.2568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  <w:tc>
          <w:tcPr/>
          <w:p>
            <w:pPr>
              <w:pStyle w:val="Compact"/>
            </w:pPr>
            <w:r>
              <w:t xml:space="preserve">0.2006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0.2136</w:t>
            </w:r>
          </w:p>
        </w:tc>
        <w:tc>
          <w:tcPr/>
          <w:p>
            <w:pPr>
              <w:pStyle w:val="Compact"/>
            </w:pPr>
            <w:r>
              <w:t xml:space="preserve">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0.2217</w:t>
            </w:r>
          </w:p>
        </w:tc>
        <w:tc>
          <w:tcPr/>
          <w:p>
            <w:pPr>
              <w:pStyle w:val="Compact"/>
            </w:pPr>
            <w:r>
              <w:t xml:space="preserve">0.2041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0.1996</w:t>
            </w:r>
          </w:p>
        </w:tc>
        <w:tc>
          <w:tcPr/>
          <w:p>
            <w:pPr>
              <w:pStyle w:val="Compact"/>
            </w:pPr>
            <w:r>
              <w:t xml:space="preserve">0.1800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0.2307</w:t>
            </w:r>
          </w:p>
        </w:tc>
        <w:tc>
          <w:tcPr/>
          <w:p>
            <w:pPr>
              <w:pStyle w:val="Compact"/>
            </w:pPr>
            <w:r>
              <w:t xml:space="preserve">0.2432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0.2277</w:t>
            </w:r>
          </w:p>
        </w:tc>
        <w:tc>
          <w:tcPr/>
          <w:p>
            <w:pPr>
              <w:pStyle w:val="Compact"/>
            </w:pPr>
            <w:r>
              <w:t xml:space="preserve">0.2091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0.2016</w:t>
            </w:r>
          </w:p>
        </w:tc>
        <w:tc>
          <w:tcPr/>
          <w:p>
            <w:pPr>
              <w:pStyle w:val="Compact"/>
            </w:pPr>
            <w:r>
              <w:t xml:space="preserve">0.2327</w:t>
            </w:r>
          </w:p>
        </w:tc>
      </w:tr>
    </w:tbl>
    <w:p>
      <w:pPr>
        <w:pStyle w:val="BodyText"/>
      </w:pPr>
      <w:r>
        <w:t xml:space="preserve">Summary statistics (paired Wilcoxon on integer RF counts; wins = Fusang better / FastTree2 better / ties):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Fusang nRF</w:t>
            </w:r>
          </w:p>
        </w:tc>
        <w:tc>
          <w:tcPr/>
          <w:p>
            <w:pPr>
              <w:pStyle w:val="Compact"/>
            </w:pPr>
            <w:r>
              <w:t xml:space="preserve">FastTree2 nRF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wins (F/FT2/tie)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clean</w:t>
            </w:r>
          </w:p>
        </w:tc>
        <w:tc>
          <w:tcPr/>
          <w:p>
            <w:pPr>
              <w:pStyle w:val="Compact"/>
            </w:pPr>
            <w:r>
              <w:t xml:space="preserve">0.2438 ± 0.0192</w:t>
            </w:r>
          </w:p>
        </w:tc>
        <w:tc>
          <w:tcPr/>
          <w:p>
            <w:pPr>
              <w:pStyle w:val="Compact"/>
            </w:pPr>
            <w:r>
              <w:t xml:space="preserve">0.2126 ± 0.0169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0/30/0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n=500, indel</w:t>
            </w:r>
          </w:p>
        </w:tc>
        <w:tc>
          <w:tcPr/>
          <w:p>
            <w:pPr>
              <w:pStyle w:val="Compact"/>
            </w:pPr>
            <w:r>
              <w:t xml:space="preserve">0.2076 ± 0.0189</w:t>
            </w:r>
          </w:p>
        </w:tc>
        <w:tc>
          <w:tcPr/>
          <w:p>
            <w:pPr>
              <w:pStyle w:val="Compact"/>
            </w:pPr>
            <w:r>
              <w:t xml:space="preserve">0.2088 ± 0.0166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17/13/0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clean</w:t>
            </w:r>
          </w:p>
        </w:tc>
        <w:tc>
          <w:tcPr/>
          <w:p>
            <w:pPr>
              <w:pStyle w:val="Compact"/>
            </w:pPr>
            <w:r>
              <w:t xml:space="preserve">0.2574 ± 0.0186</w:t>
            </w:r>
          </w:p>
        </w:tc>
        <w:tc>
          <w:tcPr/>
          <w:p>
            <w:pPr>
              <w:pStyle w:val="Compact"/>
            </w:pPr>
            <w:r>
              <w:t xml:space="preserve">0.2120 ± 0.0161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0/30/0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n=1000, indel</w:t>
            </w:r>
          </w:p>
        </w:tc>
        <w:tc>
          <w:tcPr/>
          <w:p>
            <w:pPr>
              <w:pStyle w:val="Compact"/>
            </w:pPr>
            <w:r>
              <w:t xml:space="preserve">0.2263 ± 0.0151</w:t>
            </w:r>
          </w:p>
        </w:tc>
        <w:tc>
          <w:tcPr/>
          <w:p>
            <w:pPr>
              <w:pStyle w:val="Compact"/>
            </w:pPr>
            <w:r>
              <w:t xml:space="preserve">0.2117 ± 0.0144</w:t>
            </w:r>
          </w:p>
        </w:tc>
        <w:tc>
          <w:tcPr/>
          <w:p>
            <w:pPr>
              <w:pStyle w:val="Compact"/>
            </w:pPr>
            <w:r>
              <w:t xml:space="preserve">1.54×10⁻⁴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4/25/1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BAliBASE v3.0 benchmark: per-family Fusang-vs-FastTree2 nRF (standard root-independent unrooted RF; median 0.982, mean 0.826, 3/20 families below 0.5), sequence statistics, and gap analysis for 20 protein families. No reference trees are available for this dataset, so these values measure between-method agreement, not accuracy. RF = differing splits between the Fusang and FastTree2 trees (s₁, s₂ = internal splits per tree); all values verified against DendroPy 5.0.8. Sources:</w:t>
      </w:r>
      <w:r>
        <w:t xml:space="preserve"> </w:t>
      </w:r>
      <w:r>
        <w:rPr>
          <w:rStyle w:val="VerbatimChar"/>
        </w:rPr>
        <w:t xml:space="preserve">balibase_rf_recomputed/balibase_rf_standard.csv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balibase/diagnosis/balibase_diagnosis.json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taxa</w:t>
            </w:r>
          </w:p>
        </w:tc>
        <w:tc>
          <w:tcPr/>
          <w:p>
            <w:pPr>
              <w:pStyle w:val="Compact"/>
            </w:pPr>
            <w:r>
              <w:t xml:space="preserve">mean length (aa)</w:t>
            </w:r>
          </w:p>
        </w:tc>
        <w:tc>
          <w:tcPr/>
          <w:p>
            <w:pPr>
              <w:pStyle w:val="Compact"/>
            </w:pPr>
            <w:r>
              <w:t xml:space="preserve">mean pairwise identity</w:t>
            </w:r>
          </w:p>
        </w:tc>
        <w:tc>
          <w:tcPr/>
          <w:p>
            <w:pPr>
              <w:pStyle w:val="Compact"/>
            </w:pPr>
            <w:r>
              <w:t xml:space="preserve">mean gap fraction</w:t>
            </w:r>
          </w:p>
        </w:tc>
        <w:tc>
          <w:tcPr/>
          <w:p>
            <w:pPr>
              <w:pStyle w:val="Compact"/>
            </w:pPr>
            <w:r>
              <w:t xml:space="preserve">BAliBASE ref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s₁</w:t>
            </w:r>
          </w:p>
        </w:tc>
        <w:tc>
          <w:tcPr/>
          <w:p>
            <w:pPr>
              <w:pStyle w:val="Compact"/>
            </w:pPr>
            <w:r>
              <w:t xml:space="preserve">s₂</w:t>
            </w:r>
          </w:p>
        </w:tc>
        <w:tc>
          <w:tcPr/>
          <w:p>
            <w:pPr>
              <w:pStyle w:val="Compact"/>
            </w:pPr>
            <w:r>
              <w:t xml:space="preserve">nRF (Fusang 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0.1016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0.0514</w:t>
            </w:r>
          </w:p>
        </w:tc>
        <w:tc>
          <w:tcPr/>
          <w:p>
            <w:pPr>
              <w:pStyle w:val="Compact"/>
            </w:pPr>
            <w:r>
              <w:t xml:space="preserve">0.5812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470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0.1924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BB11004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0.3018</w:t>
            </w:r>
          </w:p>
        </w:tc>
        <w:tc>
          <w:tcPr/>
          <w:p>
            <w:pPr>
              <w:pStyle w:val="Compact"/>
            </w:pPr>
            <w:r>
              <w:t xml:space="preserve">RV11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458</w:t>
            </w:r>
          </w:p>
        </w:tc>
        <w:tc>
          <w:tcPr/>
          <w:p>
            <w:pPr>
              <w:pStyle w:val="Compact"/>
            </w:pPr>
            <w:r>
              <w:t xml:space="preserve">0.0651</w:t>
            </w:r>
          </w:p>
        </w:tc>
        <w:tc>
          <w:tcPr/>
          <w:p>
            <w:pPr>
              <w:pStyle w:val="Compact"/>
            </w:pPr>
            <w:r>
              <w:t xml:space="preserve">0.2644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0.0731</w:t>
            </w:r>
          </w:p>
        </w:tc>
        <w:tc>
          <w:tcPr/>
          <w:p>
            <w:pPr>
              <w:pStyle w:val="Compact"/>
            </w:pPr>
            <w:r>
              <w:t xml:space="preserve">0.1440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0.0979</w:t>
            </w:r>
          </w:p>
        </w:tc>
        <w:tc>
          <w:tcPr/>
          <w:p>
            <w:pPr>
              <w:pStyle w:val="Compact"/>
            </w:pPr>
            <w:r>
              <w:t xml:space="preserve">0.2255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BB12004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t xml:space="preserve">0.0730</w:t>
            </w:r>
          </w:p>
        </w:tc>
        <w:tc>
          <w:tcPr/>
          <w:p>
            <w:pPr>
              <w:pStyle w:val="Compact"/>
            </w:pPr>
            <w:r>
              <w:t xml:space="preserve">0.2032</w:t>
            </w:r>
          </w:p>
        </w:tc>
        <w:tc>
          <w:tcPr/>
          <w:p>
            <w:pPr>
              <w:pStyle w:val="Compact"/>
            </w:pPr>
            <w:r>
              <w:t xml:space="preserve">RV12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0.0817</w:t>
            </w:r>
          </w:p>
        </w:tc>
        <w:tc>
          <w:tcPr/>
          <w:p>
            <w:pPr>
              <w:pStyle w:val="Compact"/>
            </w:pPr>
            <w:r>
              <w:t xml:space="preserve">0.6214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0.0604</w:t>
            </w:r>
          </w:p>
        </w:tc>
        <w:tc>
          <w:tcPr/>
          <w:p>
            <w:pPr>
              <w:pStyle w:val="Compact"/>
            </w:pPr>
            <w:r>
              <w:t xml:space="preserve">0.7296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BB20003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0.1204</w:t>
            </w:r>
          </w:p>
        </w:tc>
        <w:tc>
          <w:tcPr/>
          <w:p>
            <w:pPr>
              <w:pStyle w:val="Compact"/>
            </w:pPr>
            <w:r>
              <w:t xml:space="preserve">0.5016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0.9859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BB20004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628</w:t>
            </w:r>
          </w:p>
        </w:tc>
        <w:tc>
          <w:tcPr/>
          <w:p>
            <w:pPr>
              <w:pStyle w:val="Compact"/>
            </w:pPr>
            <w:r>
              <w:t xml:space="preserve">0.0744</w:t>
            </w:r>
          </w:p>
        </w:tc>
        <w:tc>
          <w:tcPr/>
          <w:p>
            <w:pPr>
              <w:pStyle w:val="Compact"/>
            </w:pPr>
            <w:r>
              <w:t xml:space="preserve">0.3041</w:t>
            </w:r>
          </w:p>
        </w:tc>
        <w:tc>
          <w:tcPr/>
          <w:p>
            <w:pPr>
              <w:pStyle w:val="Compact"/>
            </w:pPr>
            <w:r>
              <w:t xml:space="preserve">RV20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468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  <w:tc>
          <w:tcPr/>
          <w:p>
            <w:pPr>
              <w:pStyle w:val="Compact"/>
            </w:pPr>
            <w:r>
              <w:t xml:space="preserve">0.5068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BB30002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541</w:t>
            </w:r>
          </w:p>
        </w:tc>
        <w:tc>
          <w:tcPr/>
          <w:p>
            <w:pPr>
              <w:pStyle w:val="Compact"/>
            </w:pPr>
            <w:r>
              <w:t xml:space="preserve">0.0648</w:t>
            </w:r>
          </w:p>
        </w:tc>
        <w:tc>
          <w:tcPr/>
          <w:p>
            <w:pPr>
              <w:pStyle w:val="Compact"/>
            </w:pPr>
            <w:r>
              <w:t xml:space="preserve">0.4694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BB30003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407</w:t>
            </w:r>
          </w:p>
        </w:tc>
        <w:tc>
          <w:tcPr/>
          <w:p>
            <w:pPr>
              <w:pStyle w:val="Compact"/>
            </w:pPr>
            <w:r>
              <w:t xml:space="preserve">0.0780</w:t>
            </w:r>
          </w:p>
        </w:tc>
        <w:tc>
          <w:tcPr/>
          <w:p>
            <w:pPr>
              <w:pStyle w:val="Compact"/>
            </w:pPr>
            <w:r>
              <w:t xml:space="preserve">0.4254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0.9640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BB30004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0.1104</w:t>
            </w:r>
          </w:p>
        </w:tc>
        <w:tc>
          <w:tcPr/>
          <w:p>
            <w:pPr>
              <w:pStyle w:val="Compact"/>
            </w:pPr>
            <w:r>
              <w:t xml:space="preserve">0.4284</w:t>
            </w:r>
          </w:p>
        </w:tc>
        <w:tc>
          <w:tcPr/>
          <w:p>
            <w:pPr>
              <w:pStyle w:val="Compact"/>
            </w:pPr>
            <w:r>
              <w:t xml:space="preserve">RV30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0.7872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461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  <w:tc>
          <w:tcPr/>
          <w:p>
            <w:pPr>
              <w:pStyle w:val="Compact"/>
            </w:pPr>
            <w:r>
              <w:t xml:space="preserve">0.6997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0.0753</w:t>
            </w:r>
          </w:p>
        </w:tc>
        <w:tc>
          <w:tcPr/>
          <w:p>
            <w:pPr>
              <w:pStyle w:val="Compact"/>
            </w:pPr>
            <w:r>
              <w:t xml:space="preserve">0.7525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0.9808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527</w:t>
            </w:r>
          </w:p>
        </w:tc>
        <w:tc>
          <w:tcPr/>
          <w:p>
            <w:pPr>
              <w:pStyle w:val="Compact"/>
            </w:pPr>
            <w:r>
              <w:t xml:space="preserve">0.0616</w:t>
            </w:r>
          </w:p>
        </w:tc>
        <w:tc>
          <w:tcPr/>
          <w:p>
            <w:pPr>
              <w:pStyle w:val="Compact"/>
            </w:pPr>
            <w:r>
              <w:t xml:space="preserve">0.5115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0.8889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BB40004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0.6155</w:t>
            </w:r>
          </w:p>
        </w:tc>
        <w:tc>
          <w:tcPr/>
          <w:p>
            <w:pPr>
              <w:pStyle w:val="Compact"/>
            </w:pPr>
            <w:r>
              <w:t xml:space="preserve">RV40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0.9844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S8.</w:t>
      </w:r>
      <w:r>
        <w:t xml:space="preserve"> </w:t>
      </w:r>
      <w:r>
        <w:t xml:space="preserve">Multiple comparison correction: raw and adjusted p-values for 6 ground truth dataset comparisons (Fusang vs FastTree2; paired Wilcoxon signed-rank on integer RF counts, exact permutation value when the comparison is unanimous). Both Bonferroni (α≈0.008) and Benjamini-Hochberg FDR corrections applied.</w:t>
      </w:r>
      <w:r>
        <w:t xml:space="preserve"> </w:t>
      </w:r>
      <w:r>
        <w:t xml:space="preserve">‘Survives’</w:t>
      </w:r>
      <w:r>
        <w:t xml:space="preserve"> </w:t>
      </w:r>
      <w:r>
        <w:t xml:space="preserve">= significant after Bonferroni correction at α=0.05/6≈0.008. Source:</w:t>
      </w:r>
      <w:r>
        <w:t xml:space="preserve"> </w:t>
      </w:r>
      <w:r>
        <w:rPr>
          <w:rStyle w:val="VerbatimChar"/>
        </w:rPr>
        <w:t xml:space="preserve">table1_nrfstandard/TABLE1_all_summary.json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raw p</w:t>
            </w:r>
          </w:p>
        </w:tc>
        <w:tc>
          <w:tcPr/>
          <w:p>
            <w:pPr>
              <w:pStyle w:val="Compact"/>
            </w:pPr>
            <w:r>
              <w:t xml:space="preserve">Bonferroni-adjusted p</w:t>
            </w:r>
          </w:p>
        </w:tc>
        <w:tc>
          <w:tcPr/>
          <w:p>
            <w:pPr>
              <w:pStyle w:val="Compact"/>
            </w:pPr>
            <w:r>
              <w:t xml:space="preserve">BH-adjusted p</w:t>
            </w:r>
          </w:p>
        </w:tc>
        <w:tc>
          <w:tcPr/>
          <w:p>
            <w:pPr>
              <w:pStyle w:val="Compact"/>
            </w:pPr>
            <w:r>
              <w:t xml:space="preserve">survives α≈0.008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n200 clean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2.07×10⁻¹⁴</w:t>
            </w:r>
          </w:p>
        </w:tc>
        <w:tc>
          <w:tcPr/>
          <w:p>
            <w:pPr>
              <w:pStyle w:val="Compact"/>
            </w:pPr>
            <w:r>
              <w:t xml:space="preserve">1.24×10⁻¹³</w:t>
            </w:r>
          </w:p>
        </w:tc>
        <w:tc>
          <w:tcPr/>
          <w:p>
            <w:pPr>
              <w:pStyle w:val="Compact"/>
            </w:pPr>
            <w:r>
              <w:t xml:space="preserve">1.24×10⁻¹³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n200 indel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Fusang better</w:t>
            </w:r>
          </w:p>
        </w:tc>
        <w:tc>
          <w:tcPr/>
          <w:p>
            <w:pPr>
              <w:pStyle w:val="Compact"/>
            </w:pPr>
            <w:r>
              <w:t xml:space="preserve">0.0507</w:t>
            </w:r>
          </w:p>
        </w:tc>
        <w:tc>
          <w:tcPr/>
          <w:p>
            <w:pPr>
              <w:pStyle w:val="Compact"/>
            </w:pPr>
            <w:r>
              <w:t xml:space="preserve">0.3042</w:t>
            </w:r>
          </w:p>
        </w:tc>
        <w:tc>
          <w:tcPr/>
          <w:p>
            <w:pPr>
              <w:pStyle w:val="Compact"/>
            </w:pPr>
            <w:r>
              <w:t xml:space="preserve">0.0608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n500 clean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1.12×10⁻⁸</w:t>
            </w:r>
          </w:p>
        </w:tc>
        <w:tc>
          <w:tcPr/>
          <w:p>
            <w:pPr>
              <w:pStyle w:val="Compact"/>
            </w:pPr>
            <w:r>
              <w:t xml:space="preserve">3.73×10⁻⁹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n500 indel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Fusang better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n1000 clean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1.86×10⁻⁹</w:t>
            </w:r>
          </w:p>
        </w:tc>
        <w:tc>
          <w:tcPr/>
          <w:p>
            <w:pPr>
              <w:pStyle w:val="Compact"/>
            </w:pPr>
            <w:r>
              <w:t xml:space="preserve">1.12×10⁻⁸</w:t>
            </w:r>
          </w:p>
        </w:tc>
        <w:tc>
          <w:tcPr/>
          <w:p>
            <w:pPr>
              <w:pStyle w:val="Compact"/>
            </w:pPr>
            <w:r>
              <w:t xml:space="preserve">3.73×10⁻⁹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n1000 indel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indel</w:t>
            </w:r>
          </w:p>
        </w:tc>
        <w:tc>
          <w:tcPr/>
          <w:p>
            <w:pPr>
              <w:pStyle w:val="Compact"/>
            </w:pPr>
            <w:r>
              <w:t xml:space="preserve">FastTree2 better</w:t>
            </w:r>
          </w:p>
        </w:tc>
        <w:tc>
          <w:tcPr/>
          <w:p>
            <w:pPr>
              <w:pStyle w:val="Compact"/>
            </w:pPr>
            <w:r>
              <w:t xml:space="preserve">1.54×10⁻⁴</w:t>
            </w:r>
          </w:p>
        </w:tc>
        <w:tc>
          <w:tcPr/>
          <w:p>
            <w:pPr>
              <w:pStyle w:val="Compact"/>
            </w:pPr>
            <w:r>
              <w:t xml:space="preserve">9.23×10⁻⁴</w:t>
            </w:r>
          </w:p>
        </w:tc>
        <w:tc>
          <w:tcPr/>
          <w:p>
            <w:pPr>
              <w:pStyle w:val="Compact"/>
            </w:pPr>
            <w:r>
              <w:t xml:space="preserve">2.31×10⁻⁴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S9.</w:t>
      </w:r>
      <w:r>
        <w:t xml:space="preserve"> </w:t>
      </w:r>
      <w:r>
        <w:t xml:space="preserve">Multi-k ensemble benchmark: per-seed nRF for Fusang (k=5,gap2; NJ-only and full pipeline), individual contiguous k-mers (k=5,7,9), and ensemble average (n=200, indel rate=0.02, 130 seeds 100–229, INDELible; TRUE-relative and FT2-relative), scored with the standard root-independent unrooted RF. TRUE-relative means: contiguous k=7 0.1938 ± 0.0295, multi-k ensemble 0.1940 ± 0.0296, Fusang full pipeline 0.1990 ± 0.0296, spaced NJ-only 0.2003 ± 0.0296, contiguous k=9 0.2005 ± 0.0299, contiguous k=5 0.2078 ± 0.0314 (Table 4). Source:</w:t>
      </w:r>
      <w:r>
        <w:t xml:space="preserve"> </w:t>
      </w:r>
      <w:r>
        <w:rPr>
          <w:rStyle w:val="VerbatimChar"/>
        </w:rPr>
        <w:t xml:space="preserve">indelible_n200_indel/competitors_n200_indel_130seeds_stdrf.csv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Fusang full pipeline (k=5,gap2) (vs TRUE)</w:t>
            </w:r>
          </w:p>
        </w:tc>
        <w:tc>
          <w:tcPr/>
          <w:p>
            <w:pPr>
              <w:pStyle w:val="Compact"/>
            </w:pPr>
            <w:r>
              <w:t xml:space="preserve">Fusang NJ-only (k=5,gap2) (vs TRUE)</w:t>
            </w:r>
          </w:p>
        </w:tc>
        <w:tc>
          <w:tcPr/>
          <w:p>
            <w:pPr>
              <w:pStyle w:val="Compact"/>
            </w:pPr>
            <w:r>
              <w:t xml:space="preserve">contiguous k=5 (vs TRUE)</w:t>
            </w:r>
          </w:p>
        </w:tc>
        <w:tc>
          <w:tcPr/>
          <w:p>
            <w:pPr>
              <w:pStyle w:val="Compact"/>
            </w:pPr>
            <w:r>
              <w:t xml:space="preserve">contiguous k=7 (vs TRUE)</w:t>
            </w:r>
          </w:p>
        </w:tc>
        <w:tc>
          <w:tcPr/>
          <w:p>
            <w:pPr>
              <w:pStyle w:val="Compact"/>
            </w:pPr>
            <w:r>
              <w:t xml:space="preserve">contiguous k=9 (vs TRUE)</w:t>
            </w:r>
          </w:p>
        </w:tc>
        <w:tc>
          <w:tcPr/>
          <w:p>
            <w:pPr>
              <w:pStyle w:val="Compact"/>
            </w:pPr>
            <w:r>
              <w:t xml:space="preserve">multi-k ensemble (k=5,7,9) (vs TRUE)</w:t>
            </w:r>
          </w:p>
        </w:tc>
        <w:tc>
          <w:tcPr/>
          <w:p>
            <w:pPr>
              <w:pStyle w:val="Compact"/>
            </w:pPr>
            <w:r>
              <w:t xml:space="preserve">Fusang full pipeline (k=5,gap2) (vs FT2)</w:t>
            </w:r>
          </w:p>
        </w:tc>
        <w:tc>
          <w:tcPr/>
          <w:p>
            <w:pPr>
              <w:pStyle w:val="Compact"/>
            </w:pPr>
            <w:r>
              <w:t xml:space="preserve">Fusang NJ-only (k=5,gap2) (vs FT2)</w:t>
            </w:r>
          </w:p>
        </w:tc>
        <w:tc>
          <w:tcPr/>
          <w:p>
            <w:pPr>
              <w:pStyle w:val="Compact"/>
            </w:pPr>
            <w:r>
              <w:t xml:space="preserve">contiguous k=5 (vs FT2)</w:t>
            </w:r>
          </w:p>
        </w:tc>
        <w:tc>
          <w:tcPr/>
          <w:p>
            <w:pPr>
              <w:pStyle w:val="Compact"/>
            </w:pPr>
            <w:r>
              <w:t xml:space="preserve">contiguous k=7 (vs FT2)</w:t>
            </w:r>
          </w:p>
        </w:tc>
        <w:tc>
          <w:tcPr/>
          <w:p>
            <w:pPr>
              <w:pStyle w:val="Compact"/>
            </w:pPr>
            <w:r>
              <w:t xml:space="preserve">contiguous k=9 (vs FT2)</w:t>
            </w:r>
          </w:p>
        </w:tc>
        <w:tc>
          <w:tcPr/>
          <w:p>
            <w:pPr>
              <w:pStyle w:val="Compact"/>
            </w:pPr>
            <w:r>
              <w:t xml:space="preserve">multi-k ensemble (k=5,7,9) (vs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S10.</w:t>
      </w:r>
      <w:r>
        <w:t xml:space="preserve"> </w:t>
      </w:r>
      <w:r>
        <w:t xml:space="preserve">Alignment-free competitor comparison: per-seed nRF for Co-phylog (k=19), kmacs (k=3,5,10), k-mer cosine (k=5, k=7 contiguous), Fusang (k=5,gap2 spaced; NJ-only and full pipeline), and the multi-k ensemble on n=200 indel data (130 seeds 100–229, INDELible; TRUE-relative and FT2-relative), standard root-independent unrooted RF. TRUE-relative means: Co-phylog 0.8812 ± 0.0353, kmacs k=3 0.3656 ± 0.0389, k=5 0.4125, k=10 0.4517, Fusang full pipeline 0.1990 (Table 7). Source:</w:t>
      </w:r>
      <w:r>
        <w:t xml:space="preserve"> </w:t>
      </w:r>
      <w:r>
        <w:rPr>
          <w:rStyle w:val="VerbatimChar"/>
        </w:rPr>
        <w:t xml:space="preserve">indelible_n200_indel/competitors_n200_indel_130seeds_stdrf.csv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Co-phylog k=19 (vs TRUE)</w:t>
            </w:r>
          </w:p>
        </w:tc>
        <w:tc>
          <w:tcPr/>
          <w:p>
            <w:pPr>
              <w:pStyle w:val="Compact"/>
            </w:pPr>
            <w:r>
              <w:t xml:space="preserve">kmacs k=3 (vs TRUE)</w:t>
            </w:r>
          </w:p>
        </w:tc>
        <w:tc>
          <w:tcPr/>
          <w:p>
            <w:pPr>
              <w:pStyle w:val="Compact"/>
            </w:pPr>
            <w:r>
              <w:t xml:space="preserve">kmacs k=5 (vs TRUE)</w:t>
            </w:r>
          </w:p>
        </w:tc>
        <w:tc>
          <w:tcPr/>
          <w:p>
            <w:pPr>
              <w:pStyle w:val="Compact"/>
            </w:pPr>
            <w:r>
              <w:t xml:space="preserve">kmacs k=10 (vs TRUE)</w:t>
            </w:r>
          </w:p>
        </w:tc>
        <w:tc>
          <w:tcPr/>
          <w:p>
            <w:pPr>
              <w:pStyle w:val="Compact"/>
            </w:pPr>
            <w:r>
              <w:t xml:space="preserve">cosine k=5 (vs TRUE)</w:t>
            </w:r>
          </w:p>
        </w:tc>
        <w:tc>
          <w:tcPr/>
          <w:p>
            <w:pPr>
              <w:pStyle w:val="Compact"/>
            </w:pPr>
            <w:r>
              <w:t xml:space="preserve">cosine k=7 (vs TRUE)</w:t>
            </w:r>
          </w:p>
        </w:tc>
        <w:tc>
          <w:tcPr/>
          <w:p>
            <w:pPr>
              <w:pStyle w:val="Compact"/>
            </w:pPr>
            <w:r>
              <w:t xml:space="preserve">Fusang spaced NJ-only (vs TRUE)</w:t>
            </w:r>
          </w:p>
        </w:tc>
        <w:tc>
          <w:tcPr/>
          <w:p>
            <w:pPr>
              <w:pStyle w:val="Compact"/>
            </w:pPr>
            <w:r>
              <w:t xml:space="preserve">Fusang spaced full pipeline (vs TRUE)</w:t>
            </w:r>
          </w:p>
        </w:tc>
        <w:tc>
          <w:tcPr/>
          <w:p>
            <w:pPr>
              <w:pStyle w:val="Compact"/>
            </w:pPr>
            <w:r>
              <w:t xml:space="preserve">multi-k ensemble (vs TRUE)</w:t>
            </w:r>
          </w:p>
        </w:tc>
        <w:tc>
          <w:tcPr/>
          <w:p>
            <w:pPr>
              <w:pStyle w:val="Compact"/>
            </w:pPr>
            <w:r>
              <w:t xml:space="preserve">Co-phylog k=19 (vs FT2)</w:t>
            </w:r>
          </w:p>
        </w:tc>
        <w:tc>
          <w:tcPr/>
          <w:p>
            <w:pPr>
              <w:pStyle w:val="Compact"/>
            </w:pPr>
            <w:r>
              <w:t xml:space="preserve">kmacs k=3 (vs FT2)</w:t>
            </w:r>
          </w:p>
        </w:tc>
        <w:tc>
          <w:tcPr/>
          <w:p>
            <w:pPr>
              <w:pStyle w:val="Compact"/>
            </w:pPr>
            <w:r>
              <w:t xml:space="preserve">kmacs k=5 (vs FT2)</w:t>
            </w:r>
          </w:p>
        </w:tc>
        <w:tc>
          <w:tcPr/>
          <w:p>
            <w:pPr>
              <w:pStyle w:val="Compact"/>
            </w:pPr>
            <w:r>
              <w:t xml:space="preserve">kmacs k=10 (vs FT2)</w:t>
            </w:r>
          </w:p>
        </w:tc>
        <w:tc>
          <w:tcPr/>
          <w:p>
            <w:pPr>
              <w:pStyle w:val="Compact"/>
            </w:pPr>
            <w:r>
              <w:t xml:space="preserve">cosine k=5 (vs FT2)</w:t>
            </w:r>
          </w:p>
        </w:tc>
        <w:tc>
          <w:tcPr/>
          <w:p>
            <w:pPr>
              <w:pStyle w:val="Compact"/>
            </w:pPr>
            <w:r>
              <w:t xml:space="preserve">cosine k=7 (vs FT2)</w:t>
            </w:r>
          </w:p>
        </w:tc>
        <w:tc>
          <w:tcPr/>
          <w:p>
            <w:pPr>
              <w:pStyle w:val="Compact"/>
            </w:pPr>
            <w:r>
              <w:t xml:space="preserve">Fusang spaced NJ-only (vs FT2)</w:t>
            </w:r>
          </w:p>
        </w:tc>
        <w:tc>
          <w:tcPr/>
          <w:p>
            <w:pPr>
              <w:pStyle w:val="Compact"/>
            </w:pPr>
            <w:r>
              <w:t xml:space="preserve">Fusang spaced full pipeline (vs FT2)</w:t>
            </w:r>
          </w:p>
        </w:tc>
        <w:tc>
          <w:tcPr/>
          <w:p>
            <w:pPr>
              <w:pStyle w:val="Compact"/>
            </w:pPr>
            <w:r>
              <w:t xml:space="preserve">multi-k ensemble (vs FT2)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0.5102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0.8198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0.9442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0.8274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0.4086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0.5584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0.8858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0.8198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0.5051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0.8807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0.3122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0.2817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0.9213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0.8655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0.8147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0.5355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0.5330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0.7970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0.7868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0.5330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0.7970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0.8046</w:t>
            </w:r>
          </w:p>
        </w:tc>
        <w:tc>
          <w:tcPr/>
          <w:p>
            <w:pPr>
              <w:pStyle w:val="Compact"/>
            </w:pPr>
            <w:r>
              <w:t xml:space="preserve">0.3376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0.9162</w:t>
            </w:r>
          </w:p>
        </w:tc>
        <w:tc>
          <w:tcPr/>
          <w:p>
            <w:pPr>
              <w:pStyle w:val="Compact"/>
            </w:pPr>
            <w:r>
              <w:t xml:space="preserve">0.3376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0.1853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0.9112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0.5482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0.3477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0.5051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0.3477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0.9391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0.2716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0.8553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0.9315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0.8553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0.5406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0.8173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0.8401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0.8503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0.5152</w:t>
            </w:r>
          </w:p>
        </w:tc>
        <w:tc>
          <w:tcPr/>
          <w:p>
            <w:pPr>
              <w:pStyle w:val="Compact"/>
            </w:pPr>
            <w:r>
              <w:t xml:space="preserve">0.5102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0.8325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0.5431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0.5635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0.8655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0.8274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0.8706</w:t>
            </w:r>
          </w:p>
        </w:tc>
        <w:tc>
          <w:tcPr/>
          <w:p>
            <w:pPr>
              <w:pStyle w:val="Compact"/>
            </w:pPr>
            <w:r>
              <w:t xml:space="preserve">0.4086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0.4949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0.9289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0.9086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0.8071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0.5228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0.8756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0.4848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0.1751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0.9264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0.9340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0.5381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0.5381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0.5685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0.5431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0.9112</w:t>
            </w:r>
          </w:p>
        </w:tc>
        <w:tc>
          <w:tcPr/>
          <w:p>
            <w:pPr>
              <w:pStyle w:val="Compact"/>
            </w:pPr>
            <w:r>
              <w:t xml:space="preserve">0.3934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0.5203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0.8909</w:t>
            </w:r>
          </w:p>
        </w:tc>
        <w:tc>
          <w:tcPr/>
          <w:p>
            <w:pPr>
              <w:pStyle w:val="Compact"/>
            </w:pPr>
            <w:r>
              <w:t xml:space="preserve">0.3274</w:t>
            </w:r>
          </w:p>
        </w:tc>
        <w:tc>
          <w:tcPr/>
          <w:p>
            <w:pPr>
              <w:pStyle w:val="Compact"/>
            </w:pPr>
            <w:r>
              <w:t xml:space="preserve">0.4036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0.7995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0.5203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0.9188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0.9239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0.9010</w:t>
            </w:r>
          </w:p>
        </w:tc>
        <w:tc>
          <w:tcPr/>
          <w:p>
            <w:pPr>
              <w:pStyle w:val="Compact"/>
            </w:pPr>
            <w:r>
              <w:t xml:space="preserve">0.3731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0.8503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0.4594</w:t>
            </w:r>
          </w:p>
        </w:tc>
        <w:tc>
          <w:tcPr/>
          <w:p>
            <w:pPr>
              <w:pStyle w:val="Compact"/>
            </w:pPr>
            <w:r>
              <w:t xml:space="preserve">0.5152</w:t>
            </w:r>
          </w:p>
        </w:tc>
        <w:tc>
          <w:tcPr/>
          <w:p>
            <w:pPr>
              <w:pStyle w:val="Compact"/>
            </w:pPr>
            <w:r>
              <w:t xml:space="preserve">0.2208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0.3426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0.1802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0.1599</w:t>
            </w:r>
          </w:p>
        </w:tc>
        <w:tc>
          <w:tcPr/>
          <w:p>
            <w:pPr>
              <w:pStyle w:val="Compact"/>
            </w:pPr>
            <w:r>
              <w:t xml:space="preserve">0.1497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0.8350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0.5178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0.5279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0.8807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0.4442</w:t>
            </w:r>
          </w:p>
        </w:tc>
        <w:tc>
          <w:tcPr/>
          <w:p>
            <w:pPr>
              <w:pStyle w:val="Compact"/>
            </w:pPr>
            <w:r>
              <w:t xml:space="preserve">0.4898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0.9036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0.9543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0.8883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0.8477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0.2792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0.8934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0.5482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0.8376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0.8452</w:t>
            </w:r>
          </w:p>
        </w:tc>
        <w:tc>
          <w:tcPr/>
          <w:p>
            <w:pPr>
              <w:pStyle w:val="Compact"/>
            </w:pPr>
            <w:r>
              <w:t xml:space="preserve">0.3883</w:t>
            </w:r>
          </w:p>
        </w:tc>
        <w:tc>
          <w:tcPr/>
          <w:p>
            <w:pPr>
              <w:pStyle w:val="Compact"/>
            </w:pPr>
            <w:r>
              <w:t xml:space="preserve">0.4391</w:t>
            </w:r>
          </w:p>
        </w:tc>
        <w:tc>
          <w:tcPr/>
          <w:p>
            <w:pPr>
              <w:pStyle w:val="Compact"/>
            </w:pPr>
            <w:r>
              <w:t xml:space="preserve">0.4797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0.9746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0.4543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0.9492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0.4670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0.4975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0.8528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0.4162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0.8858</w:t>
            </w:r>
          </w:p>
        </w:tc>
        <w:tc>
          <w:tcPr/>
          <w:p>
            <w:pPr>
              <w:pStyle w:val="Compact"/>
            </w:pPr>
            <w:r>
              <w:t xml:space="preserve">0.3629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0.4695</w:t>
            </w:r>
          </w:p>
        </w:tc>
        <w:tc>
          <w:tcPr/>
          <w:p>
            <w:pPr>
              <w:pStyle w:val="Compact"/>
            </w:pPr>
            <w:r>
              <w:t xml:space="preserve">0.2513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0.2563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  <w:tc>
          <w:tcPr/>
          <w:p>
            <w:pPr>
              <w:pStyle w:val="Compact"/>
            </w:pPr>
            <w:r>
              <w:t xml:space="preserve">0.2462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0.4518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0.4365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0.9162</w:t>
            </w:r>
          </w:p>
        </w:tc>
        <w:tc>
          <w:tcPr/>
          <w:p>
            <w:pPr>
              <w:pStyle w:val="Compact"/>
            </w:pPr>
            <w:r>
              <w:t xml:space="preserve">0.3782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0.4746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0.2944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0.4772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0.8731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0.8680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0.4619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0.2538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0.9137</w:t>
            </w:r>
          </w:p>
        </w:tc>
        <w:tc>
          <w:tcPr/>
          <w:p>
            <w:pPr>
              <w:pStyle w:val="Compact"/>
            </w:pPr>
            <w:r>
              <w:t xml:space="preserve">0.3147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0.9264</w:t>
            </w:r>
          </w:p>
        </w:tc>
        <w:tc>
          <w:tcPr/>
          <w:p>
            <w:pPr>
              <w:pStyle w:val="Compact"/>
            </w:pPr>
            <w:r>
              <w:t xml:space="preserve">0.3020</w:t>
            </w:r>
          </w:p>
        </w:tc>
        <w:tc>
          <w:tcPr/>
          <w:p>
            <w:pPr>
              <w:pStyle w:val="Compact"/>
            </w:pPr>
            <w:r>
              <w:t xml:space="preserve">0.3985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0.1954</w:t>
            </w:r>
          </w:p>
        </w:tc>
        <w:tc>
          <w:tcPr/>
          <w:p>
            <w:pPr>
              <w:pStyle w:val="Compact"/>
            </w:pPr>
            <w:r>
              <w:t xml:space="preserve">0.2056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0.8832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0.8959</w:t>
            </w:r>
          </w:p>
        </w:tc>
        <w:tc>
          <w:tcPr/>
          <w:p>
            <w:pPr>
              <w:pStyle w:val="Compact"/>
            </w:pPr>
            <w:r>
              <w:t xml:space="preserve">0.3528</w:t>
            </w:r>
          </w:p>
        </w:tc>
        <w:tc>
          <w:tcPr/>
          <w:p>
            <w:pPr>
              <w:pStyle w:val="Compact"/>
            </w:pPr>
            <w:r>
              <w:t xml:space="preserve">0.3832</w:t>
            </w:r>
          </w:p>
        </w:tc>
        <w:tc>
          <w:tcPr/>
          <w:p>
            <w:pPr>
              <w:pStyle w:val="Compact"/>
            </w:pPr>
            <w:r>
              <w:t xml:space="preserve">0.4340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0.2005</w:t>
            </w:r>
          </w:p>
        </w:tc>
        <w:tc>
          <w:tcPr/>
          <w:p>
            <w:pPr>
              <w:pStyle w:val="Compact"/>
            </w:pPr>
            <w:r>
              <w:t xml:space="preserve">0.2157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  <w:tc>
          <w:tcPr/>
          <w:p>
            <w:pPr>
              <w:pStyle w:val="Compact"/>
            </w:pPr>
            <w:r>
              <w:t xml:space="preserve">0.2107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0.8629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0.3756</w:t>
            </w:r>
          </w:p>
        </w:tc>
        <w:tc>
          <w:tcPr/>
          <w:p>
            <w:pPr>
              <w:pStyle w:val="Compact"/>
            </w:pPr>
            <w:r>
              <w:t xml:space="preserve">0.4467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0.8782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0.8426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0.4873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0.2640</w:t>
            </w:r>
          </w:p>
        </w:tc>
        <w:tc>
          <w:tcPr/>
          <w:p>
            <w:pPr>
              <w:pStyle w:val="Compact"/>
            </w:pPr>
            <w:r>
              <w:t xml:space="preserve">0.2386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0.8604</w:t>
            </w:r>
          </w:p>
        </w:tc>
        <w:tc>
          <w:tcPr/>
          <w:p>
            <w:pPr>
              <w:pStyle w:val="Compact"/>
            </w:pPr>
            <w:r>
              <w:t xml:space="preserve">0.4188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0.5305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  <w:tc>
          <w:tcPr/>
          <w:p>
            <w:pPr>
              <w:pStyle w:val="Compact"/>
            </w:pPr>
            <w:r>
              <w:t xml:space="preserve">0.2665</w:t>
            </w:r>
          </w:p>
        </w:tc>
        <w:tc>
          <w:tcPr/>
          <w:p>
            <w:pPr>
              <w:pStyle w:val="Compact"/>
            </w:pPr>
            <w:r>
              <w:t xml:space="preserve">0.2614</w:t>
            </w:r>
          </w:p>
        </w:tc>
        <w:tc>
          <w:tcPr/>
          <w:p>
            <w:pPr>
              <w:pStyle w:val="Compact"/>
            </w:pPr>
            <w:r>
              <w:t xml:space="preserve">0.2360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S11.</w:t>
      </w:r>
      <w:r>
        <w:t xml:space="preserve"> </w:t>
      </w:r>
      <w:r>
        <w:t xml:space="preserve">SwissTree gene tree benchmark: per-family nRF for all methods, sequence statistics, and reference tree properties (AFproject standard; standard root-independent unrooted RF, max RF = 2(n−3)). Aligned-length gap fractions from MAFFT –auto alignments (Table 12 supplement); ref splits = internal branches of the SwissTree reference tree. Sources:</w:t>
      </w:r>
      <w:r>
        <w:t xml:space="preserve"> </w:t>
      </w:r>
      <w:r>
        <w:rPr>
          <w:rStyle w:val="VerbatimChar"/>
        </w:rPr>
        <w:t xml:space="preserve">swisstree_rf_recomputed/swisstree_rf_standard.csv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benchmark_swisstree_corrected.csv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taxa</w:t>
            </w:r>
          </w:p>
        </w:tc>
        <w:tc>
          <w:tcPr/>
          <w:p>
            <w:pPr>
              <w:pStyle w:val="Compact"/>
            </w:pPr>
            <w:r>
              <w:t xml:space="preserve">mean seq length (aa)</w:t>
            </w:r>
          </w:p>
        </w:tc>
        <w:tc>
          <w:tcPr/>
          <w:p>
            <w:pPr>
              <w:pStyle w:val="Compac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</w:pPr>
            <w:r>
              <w:t xml:space="preserve">ref tree splits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0.1848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0.1569</w:t>
            </w:r>
          </w:p>
        </w:tc>
        <w:tc>
          <w:tcPr/>
          <w:p>
            <w:pPr>
              <w:pStyle w:val="Compact"/>
            </w:pPr>
            <w:r>
              <w:t xml:space="preserve">0.1961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0.6863</w:t>
            </w:r>
          </w:p>
        </w:tc>
        <w:tc>
          <w:tcPr/>
          <w:p>
            <w:pPr>
              <w:pStyle w:val="Compact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0.2826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0.7826</w:t>
            </w:r>
          </w:p>
        </w:tc>
        <w:tc>
          <w:tcPr/>
          <w:p>
            <w:pPr>
              <w:pStyle w:val="Compact"/>
            </w:pPr>
            <w:r>
              <w:t xml:space="preserve">0.6522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0.6154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0.3596</w:t>
            </w:r>
          </w:p>
        </w:tc>
        <w:tc>
          <w:tcPr/>
          <w:p>
            <w:pPr>
              <w:pStyle w:val="Compact"/>
            </w:pPr>
            <w:r>
              <w:t xml:space="preserve">0.3772</w:t>
            </w:r>
          </w:p>
        </w:tc>
        <w:tc>
          <w:tcPr/>
          <w:p>
            <w:pPr>
              <w:pStyle w:val="Compact"/>
            </w:pPr>
            <w:r>
              <w:t xml:space="preserve">0.4123</w:t>
            </w:r>
          </w:p>
        </w:tc>
        <w:tc>
          <w:tcPr/>
          <w:p>
            <w:pPr>
              <w:pStyle w:val="Compact"/>
            </w:pPr>
            <w:r>
              <w:t xml:space="preserve">0.3947</w:t>
            </w:r>
          </w:p>
        </w:tc>
        <w:tc>
          <w:tcPr/>
          <w:p>
            <w:pPr>
              <w:pStyle w:val="Compact"/>
            </w:pPr>
            <w:r>
              <w:t xml:space="preserve">0.6404</w:t>
            </w:r>
          </w:p>
        </w:tc>
        <w:tc>
          <w:tcPr/>
          <w:p>
            <w:pPr>
              <w:pStyle w:val="Compact"/>
            </w:pPr>
            <w:r>
              <w:t xml:space="preserve">0.6754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0.6410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0.9167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0.3226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0.8710</w:t>
            </w:r>
          </w:p>
        </w:tc>
        <w:tc>
          <w:tcPr/>
          <w:p>
            <w:pPr>
              <w:pStyle w:val="Compact"/>
            </w:pPr>
            <w:r>
              <w:t xml:space="preserve">0.7742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0.3590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0.3526</w:t>
            </w:r>
          </w:p>
        </w:tc>
        <w:tc>
          <w:tcPr/>
          <w:p>
            <w:pPr>
              <w:pStyle w:val="Compact"/>
            </w:pPr>
            <w:r>
              <w:t xml:space="preserve">0.9487</w:t>
            </w:r>
          </w:p>
        </w:tc>
        <w:tc>
          <w:tcPr/>
          <w:p>
            <w:pPr>
              <w:pStyle w:val="Compact"/>
            </w:pPr>
            <w:r>
              <w:t xml:space="preserve">0.7372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402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S12.</w:t>
      </w:r>
      <w:r>
        <w:t xml:space="preserve"> </w:t>
      </w:r>
      <w:r>
        <w:t xml:space="preserve">SwissTree per-family nRF results for all methods (k-mer cosine, spaced k-mers, Co-phylog configurations): complete long-format table (11 families × 6 methods). s₁/s₂ = internal splits of the inferred/reference tree, RF = differing splits, shared = common splits; nRF = RF/(2n−6), standard root-independent unrooted RF, all values verified against DendroPy 5.0.8 (</w:t>
      </w:r>
      <w:r>
        <w:rPr>
          <w:rStyle w:val="VerbatimChar"/>
        </w:rPr>
        <w:t xml:space="preserve">dendro_agrees</w:t>
      </w:r>
      <w:r>
        <w:t xml:space="preserve">). Source:</w:t>
      </w:r>
      <w:r>
        <w:t xml:space="preserve"> </w:t>
      </w:r>
      <w:r>
        <w:rPr>
          <w:rStyle w:val="VerbatimChar"/>
        </w:rPr>
        <w:t xml:space="preserve">swisstree_rf_recomputed/swisstree_rf_standard.csv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s₁</w:t>
            </w:r>
          </w:p>
        </w:tc>
        <w:tc>
          <w:tcPr/>
          <w:p>
            <w:pPr>
              <w:pStyle w:val="Compact"/>
            </w:pPr>
            <w:r>
              <w:t xml:space="preserve">s₂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DendroPy 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0.1848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0.2065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0.7283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0.1569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0.1961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0.1765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0.6863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0.6275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0.2826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0.7826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0.6522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0.2232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0.2768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0.2411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0.6154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0.3596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0.3772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0.4123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0.3947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0.6404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0.6754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0.6410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0.5641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0.8205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0.6389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0.9167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0.3226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0.2258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0.8710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0.7742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0.3590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0.3462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0.3526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0.9487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0.7372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Fusang spaced</w:t>
            </w:r>
            <w:r>
              <w:t xml:space="preserve"> </w:t>
            </w:r>
            <w:r>
              <w:rPr>
                <w:rStyle w:val="VerbatimChar"/>
              </w:rP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k-mer cosine k=5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k-mer cosine k=4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Co-phylog halfctx=5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0.4444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Co-phylog halfctx=11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0.6111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S13.</w:t>
      </w:r>
      <w:r>
        <w:t xml:space="preserve"> </w:t>
      </w:r>
      <w:r>
        <w:t xml:space="preserve">L3 pipeline-level validation: per-seed nRF for L0 (single-k NJ), L1 (multi-k ensemble NJ), and L3 (MAFFT+FastTree2) against the true simulated tree (n=200, L=1000 bp, indel=0.02, 30 seeds, seeds 300–329, all levels complete; means L0 0.150 ± 0.026, L1 0.137 ± 0.023, L3 0.124 ± 0.026). Values are standard root-independent unrooted RF from the INDELible v1.03 regeneration; the superseded hand-written-simulator dataset is not reported (see Table 5 provenance note). Source:</w:t>
      </w:r>
      <w:r>
        <w:t xml:space="preserve"> </w:t>
      </w:r>
      <w:r>
        <w:rPr>
          <w:rStyle w:val="VerbatimChar"/>
        </w:rPr>
        <w:t xml:space="preserve">bench_l3_coalescent_indelible_30seeds_nrfstandard.csv</w:t>
      </w:r>
      <w:r>
        <w:t xml:space="preserve">. L3 executed on Linux (WSL2 Ubuntu-24.04, MAFFT –auto + FastTree2 -nt -gtr -nosupport); supersedes the earlier 5-seed Windows run (Supplementary Note S8).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L0 (single-k NJ) nRF</w:t>
            </w:r>
          </w:p>
        </w:tc>
        <w:tc>
          <w:tcPr/>
          <w:p>
            <w:pPr>
              <w:pStyle w:val="Compact"/>
            </w:pPr>
            <w:r>
              <w:t xml:space="preserve">L1 (multi-k ensemble NJ) nRF</w:t>
            </w:r>
          </w:p>
        </w:tc>
        <w:tc>
          <w:tcPr/>
          <w:p>
            <w:pPr>
              <w:pStyle w:val="Compact"/>
            </w:pPr>
            <w:r>
              <w:t xml:space="preserve">L3 (MAFFT+FastTree2) 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0.1117</w:t>
            </w:r>
          </w:p>
        </w:tc>
        <w:tc>
          <w:tcPr/>
          <w:p>
            <w:pPr>
              <w:pStyle w:val="Compact"/>
            </w:pPr>
            <w:r>
              <w:t xml:space="preserve">0.1396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305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0.0914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306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0.0761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313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314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316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319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0.1269</w:t>
            </w:r>
          </w:p>
        </w:tc>
        <w:tc>
          <w:tcPr/>
          <w:p>
            <w:pPr>
              <w:pStyle w:val="Compact"/>
            </w:pPr>
            <w:r>
              <w:t xml:space="preserve">0.1117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0.1218</w:t>
            </w:r>
          </w:p>
        </w:tc>
        <w:tc>
          <w:tcPr/>
          <w:p>
            <w:pPr>
              <w:pStyle w:val="Compact"/>
            </w:pPr>
            <w:r>
              <w:t xml:space="preserve">0.1066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327</w:t>
            </w:r>
          </w:p>
        </w:tc>
        <w:tc>
          <w:tcPr/>
          <w:p>
            <w:pPr>
              <w:pStyle w:val="Compact"/>
            </w:pPr>
            <w:r>
              <w:t xml:space="preserve">0.1421</w:t>
            </w:r>
          </w:p>
        </w:tc>
        <w:tc>
          <w:tcPr/>
          <w:p>
            <w:pPr>
              <w:pStyle w:val="Compact"/>
            </w:pPr>
            <w:r>
              <w:t xml:space="preserve">0.1371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328</w:t>
            </w:r>
          </w:p>
        </w:tc>
        <w:tc>
          <w:tcPr/>
          <w:p>
            <w:pPr>
              <w:pStyle w:val="Compact"/>
            </w:pPr>
            <w:r>
              <w:t xml:space="preserve">0.1523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0.0914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S14.</w:t>
      </w:r>
      <w:r>
        <w:t xml:space="preserve"> </w:t>
      </w:r>
      <w:r>
        <w:t xml:space="preserve">Mash vs spaced k-mer benchmark (Table 2): per-seed nRF for Fusang (k=5, gap2 →</w:t>
      </w:r>
      <w:r>
        <w:t xml:space="preserve"> </w:t>
      </w:r>
      <w:r>
        <w:rPr>
          <w:rStyle w:val="VerbatimChar"/>
        </w:rPr>
        <w:t xml:space="preserve">1110011</w:t>
      </w:r>
      <w:r>
        <w:t xml:space="preserve">, cosine, NJ) and Mash (k=21, MinHash Jaccard, NJ) on clean and indel-rich data — n=200, L=500 bp, INDELible v1.03, 30 seeds 100–129, scored against the true tree with the standard root-independent unrooted RF (</w:t>
      </w:r>
      <w:r>
        <w:rPr>
          <w:rStyle w:val="VerbatimChar"/>
        </w:rPr>
        <w:t xml:space="preserve">nrf_standard.py</w:t>
      </w:r>
      <w:r>
        <w:t xml:space="preserve">), together with the per-seed indel/clean ratios (clean: Mash 0.3486 ± 0.0351 vs Fusang 0.2364 ± 0.0336; indel: Mash 0.4034 ± 0.0844 vs Fusang 0.1926 ± 0.0272). Mash v2.3,</w:t>
      </w:r>
      <w:r>
        <w:t xml:space="preserve"> </w:t>
      </w:r>
      <w:r>
        <w:rPr>
          <w:rStyle w:val="VerbatimChar"/>
        </w:rPr>
        <w:t xml:space="preserve">mash triangle -i -k 21 -s 10000</w:t>
      </w:r>
      <w:r>
        <w:t xml:space="preserve">.</w:t>
      </w:r>
      <w:r>
        <w:t xml:space="preserve"> </w:t>
      </w:r>
      <w:r>
        <w:rPr>
          <w:b/>
          <w:bCs/>
        </w:rPr>
        <w:t xml:space="preserve">Provenance</w:t>
      </w:r>
      <w:r>
        <w:t xml:space="preserve">: the values in the earlier version of this table came from</w:t>
      </w:r>
      <w:r>
        <w:t xml:space="preserve"> </w:t>
      </w:r>
      <w:r>
        <w:rPr>
          <w:rStyle w:val="VerbatimChar"/>
        </w:rPr>
        <w:t xml:space="preserve">benchmark_mash/{clean,indel}/seed001–030.fasta</w:t>
      </w:r>
      <w:r>
        <w:t xml:space="preserve"> </w:t>
      </w:r>
      <w:r>
        <w:t xml:space="preserve">(defective hand-written coalescent simulator) and from Mash runs that omitted the required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flag; those values are withdrawn. See the Table 2 provenance note in the main text. Source:</w:t>
      </w:r>
      <w:r>
        <w:t xml:space="preserve"> </w:t>
      </w:r>
      <w:r>
        <w:rPr>
          <w:rStyle w:val="VerbatimChar"/>
        </w:rPr>
        <w:t xml:space="preserve">bench_mash_indelible_n200_nrfstandard.csv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Mash nRF (clean)</w:t>
            </w:r>
          </w:p>
        </w:tc>
        <w:tc>
          <w:tcPr/>
          <w:p>
            <w:pPr>
              <w:pStyle w:val="Compact"/>
            </w:pPr>
            <w:r>
              <w:t xml:space="preserve">Fusang nRF (clean)</w:t>
            </w:r>
          </w:p>
        </w:tc>
        <w:tc>
          <w:tcPr/>
          <w:p>
            <w:pPr>
              <w:pStyle w:val="Compact"/>
            </w:pPr>
            <w:r>
              <w:t xml:space="preserve">Mash nRF (indel)</w:t>
            </w:r>
          </w:p>
        </w:tc>
        <w:tc>
          <w:tcPr/>
          <w:p>
            <w:pPr>
              <w:pStyle w:val="Compact"/>
            </w:pPr>
            <w:r>
              <w:t xml:space="preserve">Fusang nRF (indel)</w:t>
            </w:r>
          </w:p>
        </w:tc>
        <w:tc>
          <w:tcPr/>
          <w:p>
            <w:pPr>
              <w:pStyle w:val="Compact"/>
            </w:pPr>
            <w:r>
              <w:t xml:space="preserve">Mash indel/clean</w:t>
            </w:r>
          </w:p>
        </w:tc>
        <w:tc>
          <w:tcPr/>
          <w:p>
            <w:pPr>
              <w:pStyle w:val="Compact"/>
            </w:pPr>
            <w:r>
              <w:t xml:space="preserve">Fusang indel/clean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0.2893</w:t>
            </w:r>
          </w:p>
        </w:tc>
        <w:tc>
          <w:tcPr/>
          <w:p>
            <w:pPr>
              <w:pStyle w:val="Compact"/>
            </w:pPr>
            <w:r>
              <w:t xml:space="preserve">0.5127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1.295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0.5076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1.389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0.3858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0.5533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0.2487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1.418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1.333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0.3198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0.4924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1.540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0.3198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0.3807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0.4010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1.053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0.2437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0.4061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1.062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0.2234</w:t>
            </w:r>
          </w:p>
        </w:tc>
        <w:tc>
          <w:tcPr/>
          <w:p>
            <w:pPr>
              <w:pStyle w:val="Compact"/>
            </w:pPr>
            <w:r>
              <w:t xml:space="preserve">1.017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0.3503</w:t>
            </w:r>
          </w:p>
        </w:tc>
        <w:tc>
          <w:tcPr/>
          <w:p>
            <w:pPr>
              <w:pStyle w:val="Compact"/>
            </w:pPr>
            <w:r>
              <w:t xml:space="preserve">0.2589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0.1624</w:t>
            </w:r>
          </w:p>
        </w:tc>
        <w:tc>
          <w:tcPr/>
          <w:p>
            <w:pPr>
              <w:pStyle w:val="Compact"/>
            </w:pPr>
            <w:r>
              <w:t xml:space="preserve">1.377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0.2843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0.1827</w:t>
            </w:r>
          </w:p>
        </w:tc>
        <w:tc>
          <w:tcPr/>
          <w:p>
            <w:pPr>
              <w:pStyle w:val="Compact"/>
            </w:pPr>
            <w:r>
              <w:t xml:space="preserve">1.091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1.500</w:t>
            </w:r>
          </w:p>
        </w:tc>
        <w:tc>
          <w:tcPr/>
          <w:p>
            <w:pPr>
              <w:pStyle w:val="Compact"/>
            </w:pPr>
            <w:r>
              <w:t xml:space="preserve">0.778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0.3655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0.914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0.4416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1.318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0.3553</w:t>
            </w:r>
          </w:p>
        </w:tc>
        <w:tc>
          <w:tcPr/>
          <w:p>
            <w:pPr>
              <w:pStyle w:val="Compact"/>
            </w:pPr>
            <w:r>
              <w:t xml:space="preserve">0.2081</w:t>
            </w:r>
          </w:p>
        </w:tc>
        <w:tc>
          <w:tcPr/>
          <w:p>
            <w:pPr>
              <w:pStyle w:val="Compact"/>
            </w:pPr>
            <w:r>
              <w:t xml:space="preserve">0.4822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1.357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0.3299</w:t>
            </w:r>
          </w:p>
        </w:tc>
        <w:tc>
          <w:tcPr/>
          <w:p>
            <w:pPr>
              <w:pStyle w:val="Compact"/>
            </w:pPr>
            <w:r>
              <w:t xml:space="preserve">0.2284</w:t>
            </w:r>
          </w:p>
        </w:tc>
        <w:tc>
          <w:tcPr/>
          <w:p>
            <w:pPr>
              <w:pStyle w:val="Compact"/>
            </w:pPr>
            <w:r>
              <w:t xml:space="preserve">0.3909</w:t>
            </w:r>
          </w:p>
        </w:tc>
        <w:tc>
          <w:tcPr/>
          <w:p>
            <w:pPr>
              <w:pStyle w:val="Compact"/>
            </w:pPr>
            <w:r>
              <w:t xml:space="preserve">0.1675</w:t>
            </w:r>
          </w:p>
        </w:tc>
        <w:tc>
          <w:tcPr/>
          <w:p>
            <w:pPr>
              <w:pStyle w:val="Compac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0.3249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0.5025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1.547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0.3096</w:t>
            </w:r>
          </w:p>
        </w:tc>
        <w:tc>
          <w:tcPr/>
          <w:p>
            <w:pPr>
              <w:pStyle w:val="Compact"/>
            </w:pPr>
            <w:r>
              <w:t xml:space="preserve">0.2132</w:t>
            </w:r>
          </w:p>
        </w:tc>
        <w:tc>
          <w:tcPr/>
          <w:p>
            <w:pPr>
              <w:pStyle w:val="Compact"/>
            </w:pPr>
            <w:r>
              <w:t xml:space="preserve">0.3959</w:t>
            </w:r>
          </w:p>
        </w:tc>
        <w:tc>
          <w:tcPr/>
          <w:p>
            <w:pPr>
              <w:pStyle w:val="Compact"/>
            </w:pPr>
            <w:r>
              <w:t xml:space="preserve">0.1726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0.4213</w:t>
            </w:r>
          </w:p>
        </w:tc>
        <w:tc>
          <w:tcPr/>
          <w:p>
            <w:pPr>
              <w:pStyle w:val="Compact"/>
            </w:pPr>
            <w:r>
              <w:t xml:space="preserve">0.3046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0.711</w:t>
            </w:r>
          </w:p>
        </w:tc>
        <w:tc>
          <w:tcPr/>
          <w:p>
            <w:pPr>
              <w:pStyle w:val="Compact"/>
            </w:pPr>
            <w:r>
              <w:t xml:space="preserve">0.633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0.4112</w:t>
            </w:r>
          </w:p>
        </w:tc>
        <w:tc>
          <w:tcPr/>
          <w:p>
            <w:pPr>
              <w:pStyle w:val="Compact"/>
            </w:pPr>
            <w:r>
              <w:t xml:space="preserve">0.1980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0.3350</w:t>
            </w:r>
          </w:p>
        </w:tc>
        <w:tc>
          <w:tcPr/>
          <w:p>
            <w:pPr>
              <w:pStyle w:val="Compact"/>
            </w:pPr>
            <w:r>
              <w:t xml:space="preserve">0.2030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0.4315</w:t>
            </w:r>
          </w:p>
        </w:tc>
        <w:tc>
          <w:tcPr/>
          <w:p>
            <w:pPr>
              <w:pStyle w:val="Compact"/>
            </w:pPr>
            <w:r>
              <w:t xml:space="preserve">0.1777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0.3452</w:t>
            </w:r>
          </w:p>
        </w:tc>
        <w:tc>
          <w:tcPr/>
          <w:p>
            <w:pPr>
              <w:pStyle w:val="Compact"/>
            </w:pPr>
            <w:r>
              <w:t xml:space="preserve">0.2741</w:t>
            </w:r>
          </w:p>
        </w:tc>
        <w:tc>
          <w:tcPr/>
          <w:p>
            <w:pPr>
              <w:pStyle w:val="Compact"/>
            </w:pPr>
            <w:r>
              <w:t xml:space="preserve">0.3706</w:t>
            </w:r>
          </w:p>
        </w:tc>
        <w:tc>
          <w:tcPr/>
          <w:p>
            <w:pPr>
              <w:pStyle w:val="Compact"/>
            </w:pPr>
            <w:r>
              <w:t xml:space="preserve">0.1878</w:t>
            </w:r>
          </w:p>
        </w:tc>
        <w:tc>
          <w:tcPr/>
          <w:p>
            <w:pPr>
              <w:pStyle w:val="Compact"/>
            </w:pPr>
            <w:r>
              <w:t xml:space="preserve">1.074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0.2335</w:t>
            </w:r>
          </w:p>
        </w:tc>
        <w:tc>
          <w:tcPr/>
          <w:p>
            <w:pPr>
              <w:pStyle w:val="Compact"/>
            </w:pPr>
            <w:r>
              <w:t xml:space="preserve">0.4569</w:t>
            </w:r>
          </w:p>
        </w:tc>
        <w:tc>
          <w:tcPr/>
          <w:p>
            <w:pPr>
              <w:pStyle w:val="Compact"/>
            </w:pPr>
            <w:r>
              <w:t xml:space="preserve">0.1929</w:t>
            </w:r>
          </w:p>
        </w:tc>
        <w:tc>
          <w:tcPr/>
          <w:p>
            <w:pPr>
              <w:pStyle w:val="Compact"/>
            </w:pPr>
            <w:r>
              <w:t xml:space="preserve">1.268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0.3604</w:t>
            </w:r>
          </w:p>
        </w:tc>
        <w:tc>
          <w:tcPr/>
          <w:p>
            <w:pPr>
              <w:pStyle w:val="Compact"/>
            </w:pPr>
            <w:r>
              <w:t xml:space="preserve">0.2995</w:t>
            </w:r>
          </w:p>
        </w:tc>
        <w:tc>
          <w:tcPr/>
          <w:p>
            <w:pPr>
              <w:pStyle w:val="Compact"/>
            </w:pPr>
            <w:r>
              <w:t xml:space="preserve">0.2183</w:t>
            </w:r>
          </w:p>
        </w:tc>
        <w:tc>
          <w:tcPr/>
          <w:p>
            <w:pPr>
              <w:pStyle w:val="Compact"/>
            </w:pPr>
            <w:r>
              <w:t xml:space="preserve">0.1574</w:t>
            </w:r>
          </w:p>
        </w:tc>
        <w:tc>
          <w:tcPr/>
          <w:p>
            <w:pPr>
              <w:pStyle w:val="Compact"/>
            </w:pPr>
            <w:r>
              <w:t xml:space="preserve">0.606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S15.</w:t>
      </w:r>
      <w:r>
        <w:t xml:space="preserve"> </w:t>
      </w:r>
      <w:r>
        <w:t xml:space="preserve">Boundary classifier E2E validation: all 150 individual scenario results including tree type, expected decision, predicted probability, and correctness (overall accuracy 1.000, 95% CI [0.975, 1.000]; tree completeness 1.000). p_split = predicted probability of the SPLIT decision; scenarios are INDELible-simulated coalescent and structured trees across n=50–500 and five parameter regimes (default, low_indel, vlow_indel, short_seq, short_lowindel; 3 seeds per group). Source:</w:t>
      </w:r>
      <w:r>
        <w:t xml:space="preserve"> </w:t>
      </w:r>
      <w:r>
        <w:rPr>
          <w:rStyle w:val="VerbatimChar"/>
        </w:rPr>
        <w:t xml:space="preserve">e2e_indelible_results.json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type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expected decision</w:t>
            </w:r>
          </w:p>
        </w:tc>
        <w:tc>
          <w:tcPr/>
          <w:p>
            <w:pPr>
              <w:pStyle w:val="Compact"/>
            </w:pPr>
            <w:r>
              <w:t xml:space="preserve">p_split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  <w:tc>
          <w:tcPr/>
          <w:p>
            <w:pPr>
              <w:pStyle w:val="Compact"/>
            </w:pPr>
            <w:r>
              <w:t xml:space="preserve">tree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0.0745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0.1748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0.1836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0.1591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0.1700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0.0799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0.1156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0.1825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0.1423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0.1341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0.0561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0.1381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0.1465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0.1934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0.1272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0.1353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0.0061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0.0113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0.1020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0.0966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0.1136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0.0152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0.0452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0.0252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0.0302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0.1602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0.1023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0.0816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0.1049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0.0626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0.0535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0.0859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0.0504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0.1052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coalescent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0.0902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0.6505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0.6255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0.7955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0.6355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0.7700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0.9750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0.6250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0.7605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0.8955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0.6905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0.9750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0.6105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0.9050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0.7200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vlow_indel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0.9650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0.9550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0.9850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short_seq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0.6950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0.7350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0.7150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short_lowindel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S16.</w:t>
      </w:r>
      <w:r>
        <w:t xml:space="preserve"> </w:t>
      </w:r>
      <w:r>
        <w:t xml:space="preserve">Real genome benchmarks (AFproject community datasets): complete per-method results for fish mtDNA (25 mitochondrial genomes, Fischer et al. 2013 reference tree) and E. coli/Shigella (27 genomes, Skippington &amp; Ragan 2011 reference tree), including NCBI accessions, k-scan results, multi-k variants, kmacs/Mash/Co-phylog runs at working and AFproject-published configurations, MAFFT+FastTree2 (fish), alignment gap-content quantification, and SwissTree per-family gap fractions; ETE3 unrooted nRF scoring.</w:t>
      </w:r>
    </w:p>
    <w:bookmarkStart w:id="9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396"/>
        <w:gridCol w:w="2244"/>
        <w:gridCol w:w="2112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Sequence length</w:t>
            </w:r>
          </w:p>
        </w:tc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t xml:space="preserve">Indel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Fish mtDNA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~16.5-18.3 kb (mitochondrial genomes)</w:t>
            </w:r>
          </w:p>
        </w:tc>
        <w:tc>
          <w:tcPr/>
          <w:p>
            <w:pPr>
              <w:pStyle w:val="Compact"/>
            </w:pPr>
            <w:r>
              <w:t xml:space="preserve">Fischer et al. 2013 (AFproject)</w:t>
            </w:r>
          </w:p>
        </w:tc>
        <w:tc>
          <w:tcPr/>
          <w:p>
            <w:pPr>
              <w:pStyle w:val="Compact"/>
            </w:pPr>
            <w:r>
              <w:t xml:space="preserve">MAFFT alignment: 9.1% gap cells (n=25, 18,284 columns)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E. coli/Shigella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4.4-5.5 Mb (whole genomes)</w:t>
            </w:r>
          </w:p>
        </w:tc>
        <w:tc>
          <w:tcPr/>
          <w:p>
            <w:pPr>
              <w:pStyle w:val="Compact"/>
            </w:pPr>
            <w:r>
              <w:t xml:space="preserve">Skippington &amp; Ragan 2011 (AFproject)</w:t>
            </w:r>
          </w:p>
        </w:tc>
        <w:tc>
          <w:tcPr/>
          <w:p>
            <w:pPr>
              <w:pStyle w:val="Compact"/>
            </w:pPr>
            <w:r>
              <w:t xml:space="preserve">gene gain/loss dominated (whole-genome; MSA infeasible)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SwissTree (Table 10)</w:t>
            </w:r>
          </w:p>
        </w:tc>
        <w:tc>
          <w:tcPr/>
          <w:p>
            <w:pPr>
              <w:pStyle w:val="Compact"/>
            </w:pPr>
            <w:r>
              <w:t xml:space="preserve">11 families</w:t>
            </w:r>
          </w:p>
        </w:tc>
        <w:tc>
          <w:tcPr/>
          <w:p>
            <w:pPr>
              <w:pStyle w:val="Compact"/>
            </w:pPr>
            <w:r>
              <w:t xml:space="preserve">259-1,707 aa</w:t>
            </w:r>
          </w:p>
        </w:tc>
        <w:tc>
          <w:tcPr/>
          <w:p>
            <w:pPr>
              <w:pStyle w:val="Compact"/>
            </w:pPr>
            <w:r>
              <w:t xml:space="preserve">SwissTree reference trees</w:t>
            </w:r>
          </w:p>
        </w:tc>
        <w:tc>
          <w:tcPr/>
          <w:p>
            <w:pPr>
              <w:pStyle w:val="Compact"/>
            </w:pPr>
            <w:r>
              <w:t xml:space="preserve">median 50% gap cells (range 11-81%), per family below</w:t>
            </w:r>
          </w:p>
        </w:tc>
      </w:tr>
    </w:tbl>
    <w:bookmarkEnd w:id="9"/>
    <w:bookmarkStart w:id="10" w:name="X57e4436a66c2cfa0d82cdf1989d63486beae071"/>
    <w:p>
      <w:pPr>
        <w:pStyle w:val="Heading2"/>
      </w:pPr>
      <w:r>
        <w:t xml:space="preserve">SwissTree per-family gap fractions (MAFFT –auto)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Aligned length</w:t>
            </w:r>
          </w:p>
        </w:tc>
        <w:tc>
          <w:tcPr/>
          <w:p>
            <w:pPr>
              <w:pStyle w:val="Compact"/>
            </w:pPr>
            <w:r>
              <w:t xml:space="preserve">Gap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ST001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ST002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1127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563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930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860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ST009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428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ST011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ST012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</w:tr>
    </w:tbl>
    <w:bookmarkEnd w:id="10"/>
    <w:bookmarkStart w:id="13" w:name="X808d04fabccf51e511c19efdeea4b7c616306b0"/>
    <w:p>
      <w:pPr>
        <w:pStyle w:val="Heading2"/>
      </w:pPr>
      <w:r>
        <w:t xml:space="preserve">Per-method results (ETE3 Tree.compare, unrooted nRF, max_rf = 2(n-3))</w:t>
      </w:r>
    </w:p>
    <w:bookmarkStart w:id="11" w:name="fish-mtdna-n25-44-informative-splits"/>
    <w:p>
      <w:pPr>
        <w:pStyle w:val="Heading3"/>
      </w:pPr>
      <w:r>
        <w:t xml:space="preserve">Fish mtDNA (n=25, 44 informative splits)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8"/>
        <w:gridCol w:w="1947"/>
        <w:gridCol w:w="649"/>
        <w:gridCol w:w="1428"/>
        <w:gridCol w:w="2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RF splits</w:t>
            </w:r>
          </w:p>
        </w:tc>
        <w:tc>
          <w:tcPr/>
          <w:p>
            <w:pPr>
              <w:pStyle w:val="Compact"/>
            </w:pPr>
            <w:r>
              <w:t xml:space="preserve">Published (AFproject)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 avg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k=7,9,11 avg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k=5 contiguous (gene-scale default)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k=7 contiguous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  <w:tc>
          <w:tcPr/>
          <w:p>
            <w:pPr>
              <w:pStyle w:val="Compact"/>
            </w:pPr>
            <w:r>
              <w:t xml:space="preserve">10/44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k=9 contiguous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k=11 contiguous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Fusang spaced</w:t>
            </w:r>
          </w:p>
        </w:tc>
        <w:tc>
          <w:tcPr/>
          <w:p>
            <w:pPr>
              <w:pStyle w:val="Compact"/>
            </w:pPr>
            <w:r>
              <w:t xml:space="preserve">k=5,gap2 (default)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0.1818</w:t>
            </w:r>
          </w:p>
        </w:tc>
        <w:tc>
          <w:tcPr/>
          <w:p>
            <w:pPr>
              <w:pStyle w:val="Compact"/>
            </w:pPr>
            <w:r>
              <w:t xml:space="preserve">8/44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k=10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k=21, s=10000</w:t>
            </w:r>
          </w:p>
        </w:tc>
        <w:tc>
          <w:tcPr/>
          <w:p>
            <w:pPr>
              <w:pStyle w:val="Compact"/>
            </w:pPr>
            <w:r>
              <w:t xml:space="preserve">0.0909</w:t>
            </w:r>
          </w:p>
        </w:tc>
        <w:tc>
          <w:tcPr/>
          <w:p>
            <w:pPr>
              <w:pStyle w:val="Compact"/>
            </w:pPr>
            <w:r>
              <w:t xml:space="preserve">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k=11, s=5000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(Python impl.)</w:t>
            </w:r>
          </w:p>
        </w:tc>
        <w:tc>
          <w:tcPr/>
          <w:p>
            <w:pPr>
              <w:pStyle w:val="Compact"/>
            </w:pPr>
            <w:r>
              <w:t xml:space="preserve">halfctx=5 (AFproject config)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(Python impl.)</w:t>
            </w:r>
          </w:p>
        </w:tc>
        <w:tc>
          <w:tcPr/>
          <w:p>
            <w:pPr>
              <w:pStyle w:val="Compact"/>
            </w:pPr>
            <w:r>
              <w:t xml:space="preserve">halfctx=9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24/44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MAFFT+FastTree2</w:t>
            </w:r>
          </w:p>
        </w:tc>
        <w:tc>
          <w:tcPr/>
          <w:p>
            <w:pPr>
              <w:pStyle w:val="Compact"/>
            </w:pPr>
            <w:r>
              <w:t xml:space="preserve">MSA+ML (MAFFT –auto; FastTree -nt -gtr -nosupport)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2/44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cd28042d4d63bed4ddb874e3f603f6ec6f9bebd"/>
    <w:p>
      <w:pPr>
        <w:pStyle w:val="Heading3"/>
      </w:pPr>
      <w:r>
        <w:t xml:space="preserve">E. coli/Shigella (n=27, 48 informative splits)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nRF</w:t>
            </w:r>
          </w:p>
        </w:tc>
        <w:tc>
          <w:tcPr/>
          <w:p>
            <w:pPr>
              <w:pStyle w:val="Compact"/>
            </w:pPr>
            <w:r>
              <w:t xml:space="preserve">RF splits</w:t>
            </w:r>
          </w:p>
        </w:tc>
        <w:tc>
          <w:tcPr/>
          <w:p>
            <w:pPr>
              <w:pStyle w:val="Compact"/>
            </w:pPr>
            <w:r>
              <w:t xml:space="preserve">Published (AFproject)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k=5,7,9,11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Multi-k cosine</w:t>
            </w:r>
          </w:p>
        </w:tc>
        <w:tc>
          <w:tcPr/>
          <w:p>
            <w:pPr>
              <w:pStyle w:val="Compact"/>
            </w:pPr>
            <w:r>
              <w:t xml:space="preserve">k=7,9,11,13 avg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k=5 contiguous</w:t>
            </w:r>
          </w:p>
        </w:tc>
        <w:tc>
          <w:tcPr/>
          <w:p>
            <w:pPr>
              <w:pStyle w:val="Compact"/>
            </w:pPr>
            <w:r>
              <w:t xml:space="preserve">0.8750</w:t>
            </w:r>
          </w:p>
        </w:tc>
        <w:tc>
          <w:tcPr/>
          <w:p>
            <w:pPr>
              <w:pStyle w:val="Compact"/>
            </w:pPr>
            <w:r>
              <w:t xml:space="preserve">42/48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k=7 contiguous</w:t>
            </w:r>
          </w:p>
        </w:tc>
        <w:tc>
          <w:tcPr/>
          <w:p>
            <w:pPr>
              <w:pStyle w:val="Compact"/>
            </w:pPr>
            <w:r>
              <w:t xml:space="preserve">0.7083</w:t>
            </w:r>
          </w:p>
        </w:tc>
        <w:tc>
          <w:tcPr/>
          <w:p>
            <w:pPr>
              <w:pStyle w:val="Compact"/>
            </w:pPr>
            <w:r>
              <w:t xml:space="preserve">34/48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k=9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k=11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K-mer cosine</w:t>
            </w:r>
          </w:p>
        </w:tc>
        <w:tc>
          <w:tcPr/>
          <w:p>
            <w:pPr>
              <w:pStyle w:val="Compact"/>
            </w:pPr>
            <w:r>
              <w:t xml:space="preserve">k=13 contiguous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24/48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Mash</w:t>
            </w:r>
          </w:p>
        </w:tc>
        <w:tc>
          <w:tcPr/>
          <w:p>
            <w:pPr>
              <w:pStyle w:val="Compact"/>
            </w:pPr>
            <w:r>
              <w:t xml:space="preserve">k=21, s=10000</w:t>
            </w:r>
          </w:p>
        </w:tc>
        <w:tc>
          <w:tcPr/>
          <w:p>
            <w:pPr>
              <w:pStyle w:val="Compact"/>
            </w:pPr>
            <w:r>
              <w:t xml:space="preserve">0.2083</w:t>
            </w:r>
          </w:p>
        </w:tc>
        <w:tc>
          <w:tcPr/>
          <w:p>
            <w:pPr>
              <w:pStyle w:val="Compact"/>
            </w:pPr>
            <w:r>
              <w:t xml:space="preserve">10/48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kmacs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0.5417</w:t>
            </w:r>
          </w:p>
        </w:tc>
        <w:tc>
          <w:tcPr/>
          <w:p>
            <w:pPr>
              <w:pStyle w:val="Compact"/>
            </w:pPr>
            <w:r>
              <w:t xml:space="preserve">26/48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andi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Co-phylog (original binary)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phylonium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Skmer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FSWM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FFP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spaced words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</w:tbl>
    <w:bookmarkEnd w:id="12"/>
    <w:bookmarkEnd w:id="13"/>
    <w:bookmarkStart w:id="14" w:name="ncbi-accessions"/>
    <w:p>
      <w:pPr>
        <w:pStyle w:val="Heading2"/>
      </w:pPr>
      <w:r>
        <w:t xml:space="preserve">NCBI accessions</w:t>
      </w:r>
    </w:p>
    <w:p>
      <w:pPr>
        <w:pStyle w:val="FirstParagraph"/>
      </w:pPr>
      <w:r>
        <w:t xml:space="preserve">Fish mtDNA: NC_009057, NC_009058, NC_009059, NC_009060, NC_009062, NC_009063, NC_009064, NC_009065, NC_009066, NC_009067, NC_009459, NC_010205, NC_011168, NC_011169, NC_011170, NC_011171, NC_011177, NC_011179, NC_012055, NC_013564, NC_013577, NC_013663, NC_013750, NC_018814, NC_018815</w:t>
      </w:r>
    </w:p>
    <w:p>
      <w:pPr>
        <w:pStyle w:val="BodyText"/>
      </w:pPr>
      <w:r>
        <w:t xml:space="preserve">E. coli/Shigella: NC_011742, NC_007779, NC_011750, NC_008563, NC_010468, NC_011745, NC_002695, NC_011601, NC_007606, NC_004741, NC_009800, NC_010658, NC_008258, NC_004431, NC_007384, NC_009801, NC_011741, NC_004337, NC_010498, NC_007613, NC_011415, NC_011751, NC_007946, NC_002655, NC_000913, NC_011748, NC_008253</w:t>
      </w:r>
    </w:p>
    <w:bookmarkEnd w:id="14"/>
    <w:bookmarkStart w:id="15" w:name="protocol-notes"/>
    <w:p>
      <w:pPr>
        <w:pStyle w:val="Heading2"/>
      </w:pPr>
      <w:r>
        <w:t xml:space="preserve">Protocol notes</w:t>
      </w:r>
    </w:p>
    <w:p>
      <w:pPr>
        <w:numPr>
          <w:ilvl w:val="0"/>
          <w:numId w:val="1001"/>
        </w:numPr>
      </w:pPr>
      <w:r>
        <w:t xml:space="preserve">All NJ trees: BioPython DistanceTreeConstructor (AFproject used PHYLIP fneighbor; kmacs k=10 and Mash k=11 reproduce published scores within one split, attributable to the NJ implementation).</w:t>
      </w:r>
    </w:p>
    <w:p>
      <w:pPr>
        <w:numPr>
          <w:ilvl w:val="0"/>
          <w:numId w:val="1001"/>
        </w:numPr>
      </w:pPr>
      <w:r>
        <w:t xml:space="preserve">kmacs and Mash are original binaries; Co-phylog is the Python reimplementation used throughout this work (Supplementary Note S4).</w:t>
      </w:r>
    </w:p>
    <w:p>
      <w:pPr>
        <w:numPr>
          <w:ilvl w:val="0"/>
          <w:numId w:val="1001"/>
        </w:numPr>
      </w:pPr>
      <w:r>
        <w:t xml:space="preserve">k-mer cosine on E. coli/Shigella used forward-strand k-mers (consistent with all other benchmarks in this work), computed via 64-bit rolling hashes.</w:t>
      </w:r>
    </w:p>
    <w:p>
      <w:pPr>
        <w:numPr>
          <w:ilvl w:val="0"/>
          <w:numId w:val="1001"/>
        </w:numPr>
      </w:pPr>
      <w:r>
        <w:t xml:space="preserve">MAFFT+FastTree2 on WSL2 Ubuntu-24.04. Gap fractions measured on MAFFT –auto alignments.</w:t>
      </w:r>
    </w:p>
    <w:p>
      <w:pPr>
        <w:numPr>
          <w:ilvl w:val="0"/>
          <w:numId w:val="1001"/>
        </w:numPr>
      </w:pPr>
      <w:r>
        <w:t xml:space="preserve">Data generated 2026-10-09; scripts: real_data/afproject_genome/{fish_mito_suite,ecoli_shigella_suite,ete3_scoring}.py, run logs and distance matrices included in the reproducibility package.</w:t>
      </w:r>
    </w:p>
    <w:p>
      <w:pPr>
        <w:numPr>
          <w:ilvl w:val="0"/>
          <w:numId w:val="1001"/>
        </w:numPr>
      </w:pPr>
      <w:r>
        <w:t xml:space="preserve">kmacs (k=3) on E. coli/Shigella (27 x ~4.6 Mb, single-threaded) is reported above (nRF=0.5417, 26/48 splits). An earlier attempt produced no output after &gt;40 min; the run that ultimately produced</w:t>
      </w:r>
      <w:r>
        <w:t xml:space="preserve"> </w:t>
      </w:r>
      <w:r>
        <w:rPr>
          <w:rStyle w:val="VerbatimChar"/>
        </w:rPr>
        <w:t xml:space="preserve">wsl_out/ecoli_kmacs_k3.dmat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ecoli_kmacs_k3.nwk</w:t>
      </w:r>
      <w:r>
        <w:t xml:space="preserve"> </w:t>
      </w:r>
      <w:r>
        <w:t xml:space="preserve">was left running overnight and was</w:t>
      </w:r>
      <w:r>
        <w:t xml:space="preserve"> </w:t>
      </w:r>
      <w:r>
        <w:rPr>
          <w:b/>
          <w:bCs/>
        </w:rPr>
        <w:t xml:space="preserve">not instrumented</w:t>
      </w:r>
      <w:r>
        <w:t xml:space="preserve">, so no precise wall-clock timing is claimed for it. The same applies to the Mash k=21 run (~10 s), for which no separate log entry exists.</w:t>
      </w:r>
    </w:p>
    <w:p>
      <w:pPr>
        <w:pStyle w:val="FirstParagraph"/>
      </w:pPr>
      <w:r>
        <w:rPr>
          <w:b/>
          <w:bCs/>
        </w:rPr>
        <w:t xml:space="preserve">Supplementary Table S17.</w:t>
      </w:r>
      <w:r>
        <w:t xml:space="preserve"> </w:t>
      </w:r>
      <w:r>
        <w:t xml:space="preserve">Gene-length real DNA benchmark: per-locus results for the 13 mitochondrial protein-coding genes (168–1,866 bp) from the 25 fish genomes — locus lengths, per-locus alignment gap fractions, ETE3 nRF vs the Fischer et al. 2013 whole-mitogenome reference tree, and Fusang-vs-FastTree2 agreement nRF, for the multi-k ensemble (mean of k=5,7,9 cosine distances), single k=5, single k=7, and the MAFFT+FastTree2 anchor. Source:</w:t>
      </w:r>
      <w:r>
        <w:t xml:space="preserve"> </w:t>
      </w:r>
      <w:r>
        <w:rPr>
          <w:rStyle w:val="VerbatimChar"/>
        </w:rPr>
        <w:t xml:space="preserve">real_data/afproject_genome/gene_dna/gene_dna_results.json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locus</w:t>
            </w:r>
          </w:p>
        </w:tc>
        <w:tc>
          <w:tcPr/>
          <w:p>
            <w:pPr>
              <w:pStyle w:val="Compact"/>
            </w:pPr>
            <w:r>
              <w:t xml:space="preserve">length range (bp)</w:t>
            </w:r>
          </w:p>
        </w:tc>
        <w:tc>
          <w:tcPr/>
          <w:p>
            <w:pPr>
              <w:pStyle w:val="Compact"/>
            </w:pPr>
            <w:r>
              <w:t xml:space="preserve">aligned length</w:t>
            </w:r>
          </w:p>
        </w:tc>
        <w:tc>
          <w:tcPr/>
          <w:p>
            <w:pPr>
              <w:pStyle w:val="Compact"/>
            </w:pPr>
            <w:r>
              <w:t xml:space="preserve">gap fraction</w:t>
            </w:r>
          </w:p>
        </w:tc>
        <w:tc>
          <w:tcPr/>
          <w:p>
            <w:pPr>
              <w:pStyle w:val="Compact"/>
            </w:pPr>
            <w:r>
              <w:t xml:space="preserve">multi-k nRF vs ref</w:t>
            </w:r>
          </w:p>
        </w:tc>
        <w:tc>
          <w:tcPr/>
          <w:p>
            <w:pPr>
              <w:pStyle w:val="Compact"/>
            </w:pPr>
            <w:r>
              <w:t xml:space="preserve">k=5 nRF vs ref</w:t>
            </w:r>
          </w:p>
        </w:tc>
        <w:tc>
          <w:tcPr/>
          <w:p>
            <w:pPr>
              <w:pStyle w:val="Compact"/>
            </w:pPr>
            <w:r>
              <w:t xml:space="preserve">k=7 nRF vs ref</w:t>
            </w:r>
          </w:p>
        </w:tc>
        <w:tc>
          <w:tcPr/>
          <w:p>
            <w:pPr>
              <w:pStyle w:val="Compact"/>
            </w:pPr>
            <w:r>
              <w:t xml:space="preserve">MAFFT+FT2 nRF vs ref</w:t>
            </w:r>
          </w:p>
        </w:tc>
        <w:tc>
          <w:tcPr/>
          <w:p>
            <w:pPr>
              <w:pStyle w:val="Compact"/>
            </w:pPr>
            <w:r>
              <w:t xml:space="preserve">multi-k vs FT2 nRF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ND1</w:t>
            </w:r>
          </w:p>
        </w:tc>
        <w:tc>
          <w:tcPr/>
          <w:p>
            <w:pPr>
              <w:pStyle w:val="Compact"/>
            </w:pPr>
            <w:r>
              <w:t xml:space="preserve">975–975</w:t>
            </w:r>
          </w:p>
        </w:tc>
        <w:tc>
          <w:tcPr/>
          <w:p>
            <w:pPr>
              <w:pStyle w:val="Compact"/>
            </w:pPr>
            <w:r>
              <w:t xml:space="preserve">975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ND2</w:t>
            </w:r>
          </w:p>
        </w:tc>
        <w:tc>
          <w:tcPr/>
          <w:p>
            <w:pPr>
              <w:pStyle w:val="Compact"/>
            </w:pPr>
            <w:r>
              <w:t xml:space="preserve">1045–1047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ND3</w:t>
            </w:r>
          </w:p>
        </w:tc>
        <w:tc>
          <w:tcPr/>
          <w:p>
            <w:pPr>
              <w:pStyle w:val="Compact"/>
            </w:pPr>
            <w:r>
              <w:t xml:space="preserve">349–352</w:t>
            </w:r>
          </w:p>
        </w:tc>
        <w:tc>
          <w:tcPr/>
          <w:p>
            <w:pPr>
              <w:pStyle w:val="Compact"/>
            </w:pPr>
            <w:r>
              <w:t xml:space="preserve">354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ND4</w:t>
            </w:r>
          </w:p>
        </w:tc>
        <w:tc>
          <w:tcPr/>
          <w:p>
            <w:pPr>
              <w:pStyle w:val="Compact"/>
            </w:pPr>
            <w:r>
              <w:t xml:space="preserve">1380–1381</w:t>
            </w:r>
          </w:p>
        </w:tc>
        <w:tc>
          <w:tcPr/>
          <w:p>
            <w:pPr>
              <w:pStyle w:val="Compact"/>
            </w:pPr>
            <w:r>
              <w:t xml:space="preserve">1381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0.1364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ND4L</w:t>
            </w:r>
          </w:p>
        </w:tc>
        <w:tc>
          <w:tcPr/>
          <w:p>
            <w:pPr>
              <w:pStyle w:val="Compact"/>
            </w:pPr>
            <w:r>
              <w:t xml:space="preserve">297–297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ND5</w:t>
            </w:r>
          </w:p>
        </w:tc>
        <w:tc>
          <w:tcPr/>
          <w:p>
            <w:pPr>
              <w:pStyle w:val="Compact"/>
            </w:pPr>
            <w:r>
              <w:t xml:space="preserve">1837–1866</w:t>
            </w:r>
          </w:p>
        </w:tc>
        <w:tc>
          <w:tcPr/>
          <w:p>
            <w:pPr>
              <w:pStyle w:val="Compact"/>
            </w:pPr>
            <w:r>
              <w:t xml:space="preserve">1867</w:t>
            </w:r>
          </w:p>
        </w:tc>
        <w:tc>
          <w:tcPr/>
          <w:p>
            <w:pPr>
              <w:pStyle w:val="Compact"/>
            </w:pPr>
            <w:r>
              <w:t xml:space="preserve">0.0145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0.2273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ND6</w:t>
            </w:r>
          </w:p>
        </w:tc>
        <w:tc>
          <w:tcPr/>
          <w:p>
            <w:pPr>
              <w:pStyle w:val="Compact"/>
            </w:pPr>
            <w:r>
              <w:t xml:space="preserve">519–531</w:t>
            </w:r>
          </w:p>
        </w:tc>
        <w:tc>
          <w:tcPr/>
          <w:p>
            <w:pPr>
              <w:pStyle w:val="Compact"/>
            </w:pPr>
            <w:r>
              <w:t xml:space="preserve">531</w:t>
            </w:r>
          </w:p>
        </w:tc>
        <w:tc>
          <w:tcPr/>
          <w:p>
            <w:pPr>
              <w:pStyle w:val="Compact"/>
            </w:pPr>
            <w:r>
              <w:t xml:space="preserve">0.0167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ATP6</w:t>
            </w:r>
          </w:p>
        </w:tc>
        <w:tc>
          <w:tcPr/>
          <w:p>
            <w:pPr>
              <w:pStyle w:val="Compact"/>
            </w:pPr>
            <w:r>
              <w:t xml:space="preserve">683–684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ATP8</w:t>
            </w:r>
          </w:p>
        </w:tc>
        <w:tc>
          <w:tcPr/>
          <w:p>
            <w:pPr>
              <w:pStyle w:val="Compact"/>
            </w:pPr>
            <w:r>
              <w:t xml:space="preserve">168–168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0.7273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COX1</w:t>
            </w:r>
          </w:p>
        </w:tc>
        <w:tc>
          <w:tcPr/>
          <w:p>
            <w:pPr>
              <w:pStyle w:val="Compact"/>
            </w:pPr>
            <w:r>
              <w:t xml:space="preserve">1548–1596</w:t>
            </w:r>
          </w:p>
        </w:tc>
        <w:tc>
          <w:tcPr/>
          <w:p>
            <w:pPr>
              <w:pStyle w:val="Compact"/>
            </w:pPr>
            <w:r>
              <w:t xml:space="preserve">1596</w:t>
            </w:r>
          </w:p>
        </w:tc>
        <w:tc>
          <w:tcPr/>
          <w:p>
            <w:pPr>
              <w:pStyle w:val="Compact"/>
            </w:pPr>
            <w:r>
              <w:t xml:space="preserve">0.0137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0.4091</w:t>
            </w:r>
          </w:p>
        </w:tc>
        <w:tc>
          <w:tcPr/>
          <w:p>
            <w:pPr>
              <w:pStyle w:val="Compact"/>
            </w:pPr>
            <w:r>
              <w:t xml:space="preserve">0.1818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COX2</w:t>
            </w:r>
          </w:p>
        </w:tc>
        <w:tc>
          <w:tcPr/>
          <w:p>
            <w:pPr>
              <w:pStyle w:val="Compact"/>
            </w:pPr>
            <w:r>
              <w:t xml:space="preserve">691–691</w:t>
            </w:r>
          </w:p>
        </w:tc>
        <w:tc>
          <w:tcPr/>
          <w:p>
            <w:pPr>
              <w:pStyle w:val="Compact"/>
            </w:pPr>
            <w:r>
              <w:t xml:space="preserve">691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0.2727</w:t>
            </w:r>
          </w:p>
        </w:tc>
        <w:tc>
          <w:tcPr/>
          <w:p>
            <w:pPr>
              <w:pStyle w:val="Compact"/>
            </w:pPr>
            <w:r>
              <w:t xml:space="preserve">0.4545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COX3</w:t>
            </w:r>
          </w:p>
        </w:tc>
        <w:tc>
          <w:tcPr/>
          <w:p>
            <w:pPr>
              <w:pStyle w:val="Compact"/>
            </w:pPr>
            <w:r>
              <w:t xml:space="preserve">784–786</w:t>
            </w:r>
          </w:p>
        </w:tc>
        <w:tc>
          <w:tcPr/>
          <w:p>
            <w:pPr>
              <w:pStyle w:val="Compact"/>
            </w:pPr>
            <w:r>
              <w:t xml:space="preserve">786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0.6818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  <w:tc>
          <w:tcPr/>
          <w:p>
            <w:pPr>
              <w:pStyle w:val="Compact"/>
            </w:pPr>
            <w:r>
              <w:t xml:space="preserve">0.3182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CYTB</w:t>
            </w:r>
          </w:p>
        </w:tc>
        <w:tc>
          <w:tcPr/>
          <w:p>
            <w:pPr>
              <w:pStyle w:val="Compact"/>
            </w:pPr>
            <w:r>
              <w:t xml:space="preserve">1131–1142</w:t>
            </w:r>
          </w:p>
        </w:tc>
        <w:tc>
          <w:tcPr/>
          <w:p>
            <w:pPr>
              <w:pStyle w:val="Compact"/>
            </w:pPr>
            <w:r>
              <w:t xml:space="preserve">1142</w:t>
            </w:r>
          </w:p>
        </w:tc>
        <w:tc>
          <w:tcPr/>
          <w:p>
            <w:pPr>
              <w:pStyle w:val="Compact"/>
            </w:pPr>
            <w:r>
              <w:t xml:space="preserve">0.0014</w:t>
            </w:r>
          </w:p>
        </w:tc>
        <w:tc>
          <w:tcPr/>
          <w:p>
            <w:pPr>
              <w:pStyle w:val="Compact"/>
            </w:pPr>
            <w:r>
              <w:t xml:space="preserve">0.5909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0.6364</w:t>
            </w:r>
          </w:p>
        </w:tc>
        <w:tc>
          <w:tcPr/>
          <w:p>
            <w:pPr>
              <w:pStyle w:val="Compact"/>
            </w:pPr>
            <w:r>
              <w:t xml:space="preserve">0.3636</w:t>
            </w:r>
          </w:p>
        </w:tc>
        <w:tc>
          <w:tcPr/>
          <w:p>
            <w:pPr>
              <w:pStyle w:val="Compact"/>
            </w:pPr>
            <w:r>
              <w:t xml:space="preserve">0.5000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2026-10-22T12:32:34Z</dcterms:created>
  <dcterms:modified xsi:type="dcterms:W3CDTF">2026-10-22T12:32:34Z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