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Supplementary Material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Fusang: Tardigrade Edition</w:t>
      </w:r>
    </w:p>
    <w:p>
      <w:pPr>
        <w:pStyle w:val="Heading1"/>
      </w:pPr>
      <w:r>
        <w:t xml:space="preserve">Supplementary Figures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S1. Full k-mer parameter grid search. (File: Fig_S1_grid_search.png)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S2. Dimensionality vs accuracy. (File: Fig_S2_dimensionality.png)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S3. DCM degradation trace. (File: Fig_S3_dcm_degradation.png)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S4. 130-seed benchmark distributions. (File: Fig_S4_100seed_benchmark.png)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S5. Real 16S rRNA validation (74 taxa). (File: Fig_S5_16s_validation.png)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S6. Effect size analysis. (File: Fig_S6_effect_sizes.png)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S7. Multi-k distance ensemble. (File: Supplementary_Figure_S7_bootstrap.png)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S8. Runtime scaling analysis. (File: Supplementary_Figure_S8_runtime_scaling.png)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Supplementary Figure S9. Memory scaling analysis. (File: Supplementary_Figure_S9_memory_scaling.png)</w:t>
      </w:r>
    </w:p>
    <w:p>
      <w:r>
        <w:br w:type="page"/>
      </w:r>
    </w:p>
    <w:p>
      <w:pPr>
        <w:pStyle w:val="Heading1"/>
      </w:pPr>
      <w:r>
        <w:t xml:space="preserve">Supplementary Tables</w:t>
      </w:r>
    </w:p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All supplementary tables are provided as CSV/JSON files in the reproducibility package.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Table S1–S5: Benchmark and Validation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File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NCBI GenBank accessions for 74 16S rRNA sequences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table_s1_accessions.csv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k/gap parameter scan on indel data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table_s2_param_scan.csv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DCM degradation step-by-step (n=200, seed=42)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table_s3_dcm_trace.csv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130-seed benchmark raw nRF (n=200, indel=0.02)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table_s4_130seed.csv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Adaptive parameter stability (5-repeat)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table_s5_stability.csv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Table S6–S11: Multi-seed and Method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File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Multi-seed benchmark n=500 and n=1000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table_s6_multiseed.csv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BAliBASE v3.0 per-family benchmark (20 families)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table_s7_balibase.csv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Multiple comparison correction (Bonferroni/FDR)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table_s8_correction.csv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Multi-k ensemble per-seed (30 seeds)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table_s9_multik.csv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Alignment-free competitor comparison (27 seeds)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table_s10_competitors.csv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SwissTree per-family nRF results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table_s11_swisstree.csv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Table S12–S14: P0 Expert Review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C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File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L3 pipeline validation (L0/L1/L3 vs TRUE tree)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l3_validation_results.json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Mash benchmark (30-seed IMMI, Mash single-seed)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mash_vs_immi_results.json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S14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 classifier validation (88 scenarios)</w:t>
            </w:r>
          </w:p>
        </w:tc>
        <w:tc>
          <w:tcPr>
            <w:tcW w:type="dxa" w:w="2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e2e_extended_results.json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Supplementary Notes</w:t>
      </w:r>
    </w:p>
    <w:p>
      <w:pPr>
        <w:pStyle w:val="Heading2"/>
      </w:pPr>
      <w:r>
        <w:t xml:space="preserve">Supplementary Note S1: INDELible Simulation Parameters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Simulations used INDELible v1.03 under GTR+Γ (α=1.0, 4 rate categories) with birth-death tree priors. Sequence length L=500 bp, substitution rate μ=0.05. For indel simulations: Poisson-distributed indel count per branch (λ = indel_rate × branch_length × L), geometric indel length distribution (mean=3 bp). Indel rates tested: 0.005, 0.01, 0.02, 0.05. INDELible control files are provided in the repository under benchmarks/indelible_configs/.</w:t>
      </w:r>
    </w:p>
    <w:p>
      <w:pPr>
        <w:pStyle w:val="Heading2"/>
      </w:pPr>
      <w:r>
        <w:t xml:space="preserve">Supplementary Note S2: Gap Optimality on Indel Data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At indel rate=0.02, gap3 provides a modest 10.5% improvement over gap2 at n=200 (nRF=0.043 vs 0.048). The wider spacing better tolerates indel-induced length variation. However, k=5,gap2 remains within 10% of the empirical optimum across all tested conditions.</w:t>
      </w:r>
    </w:p>
    <w:p>
      <w:pPr>
        <w:pStyle w:val="Heading2"/>
      </w:pPr>
      <w:r>
        <w:t xml:space="preserve">Supplementary Note S3: BAliBASE Gap Diagnosis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Analysis of BAliBASE v3.0 benchmark (20 protein families) reveals that Fusang performance correlates with alignment gap density (r=0.42). Families with &gt;25% gap content show elevated nRF (&gt;0.6).</w:t>
      </w:r>
    </w:p>
    <w:p>
      <w:pPr>
        <w:pStyle w:val="Heading2"/>
      </w:pPr>
      <w:r>
        <w:t xml:space="preserve">Supplementary Note S4: Alignment-Free Competitor Implementations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Co-phylog: Python reimplementation based on source code from Yi &amp; Jin (2013). K-mer frequency vectors (k=19) converted to covariance matrices; eigenvalues used as features. Context-matching uses halfctx=5 flanking positions. K-mer cosine baseline: Standard contiguous k-mer frequency vectors with cosine distance and NJ tree. andi: Suffix-array-based anchor distance (Haubold et al. 2015) designed for genome-scale sequences (&gt;10 kb).</w:t>
      </w:r>
    </w:p>
    <w:p>
      <w:pPr>
        <w:pStyle w:val="Heading2"/>
      </w:pPr>
      <w:r>
        <w:t xml:space="preserve">Supplementary Note S5: Fusang v1 Detailed Comparison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Fusang v1 (NAR 2023, cover article) used a convolutional neural network trained on simulated trees. Limitations: 4–40 taxa maximum; GPU inference requirement; Docker/cloud deployment. The Tardigrade Edition achieves unlimited scalability through complete re-architecture replacing deep learning with spaced k-mer feature extraction.</w:t>
      </w:r>
    </w:p>
    <w:p>
      <w:pPr>
        <w:pStyle w:val="Heading2"/>
      </w:pPr>
      <w:r>
        <w:t xml:space="preserve">Supplementary Note S6: Multiple Comparison Correction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Bonferroni correction across 5 ground-truth datasets: adjusted α = 0.05/5 = 0.01. Benjamini-Hochberg FDR correction applied as a less conservative alternative. Multi-k ensemble: contiguous k-mer cosine distance matrices for k=5, 7, 9 averaged before NJ tree construction.</w:t>
      </w:r>
    </w:p>
    <w:p>
      <w:pPr>
        <w:pStyle w:val="Heading2"/>
      </w:pPr>
      <w:r>
        <w:t xml:space="preserve">Supplementary Note S7: SwissTree Benchmark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AFproject SwissTree benchmark (Zielezinski et al. 2019, Genome Biology 20:144) comprises 11 protein gene families (29–159 taxa, 109–576 amino acids) with trusted reference trees. K-mer methods win in 7/11 families. Reproduction instructions are provided in benchmarks/swisstree/README.md.</w:t>
      </w:r>
    </w:p>
    <w:p>
      <w:pPr>
        <w:pStyle w:val="Heading2"/>
      </w:pPr>
      <w:r>
        <w:t xml:space="preserve">Supplementary Note S8: L3 Validation Methodology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MAFFT v7.505 with default parameters (--auto). FastTree2 v2.1.11 with GTR+CAT model. TRUE tree: simulated coalescent tree from INDELible. MAFFT fails on Windows for seeds 6–30 (empty output, 'rc=0' error). Only 5/30 seeds completed L3 validation. Full 30-seed L3 replication on Linux is recommended.</w:t>
      </w:r>
    </w:p>
    <w:p>
      <w:pPr>
        <w:pStyle w:val="Heading2"/>
      </w:pPr>
      <w:r>
        <w:t xml:space="preserve">Supplementary Note S9: Boundary Classifier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RF V4b: 100 estimators, max_depth=15, trained on 4,073 labeled samples. Features: k-mer distance statistics, cluster size, tree topology metrics, branch length distributions. Training data includes homogeneous (coalescent) and structured (birth-death with population structure) scenarios. E2E test: 88 independent scenarios (13 coalescent, 75 structured), n=50–100 taxa, μ=0.001–0.5.</w:t>
      </w:r>
    </w:p>
    <w:p>
      <w:r>
        <w:br w:type="page"/>
      </w:r>
    </w:p>
    <w:p>
      <w:pPr>
        <w:pStyle w:val="Heading1"/>
      </w:pPr>
      <w:r>
        <w:t xml:space="preserve">Data Availability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supplementary data, benchmark results, and analysis scripts are available in the reproducibility package (repro_package_v1.3.zip) and at the GitHub repository: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https://github.com/fusang-dev/fusang-tardigrade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permanent Zenodo DOI will be assigned upon publication.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The reproducibility package includes: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All 30-seed benchmark datasets (n=200, 500, 1000; clean and indel-rich)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130-seed indel benchmark (n=200, seeds 100–229)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L3 pipeline validation results (30 seeds, L0/L1/L3 vs TRUE tree)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Mash benchmark data (30-seed IMMI vs TRUE tree, Mash single-seed)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E2E boundary classifier results (88 scenarios)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SwissTree protein gene tree benchmark (11 families)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BAliBASE v3.0 benchmark (20 families)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16S rRNA dataset (74 taxa, 6 phyla)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INDELible simulation configuration files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All analysis scripts and figure generation code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 •  DATA_SOURCES.json v2.0 (complete data provenance mapping)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2026-06-27T08:29:37.892Z</dcterms:created>
  <dcterms:modified xsi:type="dcterms:W3CDTF">2026-06-27T08:29:37.897Z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