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个人账本全栈学习计划</w:t>
      </w:r>
    </w:p>
    <w:p>
      <w:pPr>
        <w:pStyle w:val="Subtitle"/>
        <w:jc w:val="left"/>
      </w:pPr>
      <w:r>
        <w:t xml:space="preserve">2026-10-12 至 2027-04-25｜7 个四周学习月｜每周 4 小时保底、5 小时上限</w:t>
      </w:r>
    </w:p>
    <w:p>
      <w:pPr>
        <w:widowControl/>
        <w:spacing w:after="180" w:line="348"/>
        <w:jc w:val="both"/>
      </w:pPr>
      <w:r>
        <w:t xml:space="preserve">适用项目：ledger-workspace　版本：v1.0　制定日期：2026-10-09</w:t>
      </w:r>
    </w:p>
    <w:p>
      <w:pPr>
        <w:pStyle w:val="Heading1"/>
      </w:pPr>
      <w:r>
        <w:t xml:space="preserve">一、计划目标</w:t>
      </w:r>
    </w:p>
    <w:p>
      <w:pPr>
        <w:widowControl/>
        <w:spacing w:after="160" w:line="348"/>
        <w:jc w:val="both"/>
      </w:pPr>
      <w:r>
        <w:t xml:space="preserve">在 28 周内完成一个仅使用虚构数据的个人账本学习项目：React Web → NestJS API → PostgreSQL/TypeORM → 测试与交付 → 受限只读 AI。目标不是堆叠技术名词，而是能够独立解释并验证一次完整请求在前端、认证、业务服务、数据库、测试和 AI 边界中的行为。</w:t>
      </w:r>
    </w:p>
    <w:p>
      <w:pPr>
        <w:widowControl/>
        <w:spacing w:after="160" w:line="348"/>
        <w:jc w:val="both"/>
      </w:pPr>
      <w:r>
        <w:t xml:space="preserve">本计划从当前已有的 NestJS、React、TypeORM 与 PostgreSQL 基础开始。第一阶段直接进入版本化 migration、用户认证和第一个业务垂直切片。</w:t>
      </w:r>
    </w:p>
    <w:p>
      <w:pPr>
        <w:pStyle w:val="Heading1"/>
      </w:pPr>
      <w:r>
        <w:t xml:space="preserve">二、每周学习节奏</w:t>
      </w:r>
    </w:p>
    <w:tbl>
      <w:tblPr>
        <w:tblW w:type="dxa" w:w="9411"/>
        <w:tblBorders>
          <w:top w:val="single" w:color="EAF1F7" w:sz="4"/>
          <w:left w:val="single" w:color="EAF1F7" w:sz="4"/>
          <w:bottom w:val="single" w:color="EAF1F7" w:sz="4"/>
          <w:right w:val="single" w:color="EAF1F7" w:sz="4"/>
          <w:insideH w:val="single" w:color="EAF1F7" w:sz="4"/>
          <w:insideV w:val="single" w:color="EAF1F7" w:sz="4"/>
        </w:tblBorders>
        <w:tblLayout w:type="fixed"/>
      </w:tblPr>
      <w:tblGrid>
        <w:gridCol w:w="2259"/>
        <w:gridCol w:w="2165"/>
        <w:gridCol w:w="4987"/>
      </w:tblGrid>
      <w:tr>
        <w:trPr>
          <w:cantSplit/>
          <w:tblHeader/>
        </w:trPr>
        <w:tc>
          <w:tcPr>
            <w:tcW w:type="dxa" w:w="2259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时间块</w:t>
            </w:r>
          </w:p>
        </w:tc>
        <w:tc>
          <w:tcPr>
            <w:tcW w:type="dxa" w:w="2165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时长</w:t>
            </w:r>
          </w:p>
        </w:tc>
        <w:tc>
          <w:tcPr>
            <w:tcW w:type="dxa" w:w="4987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安排</w:t>
            </w:r>
          </w:p>
        </w:tc>
      </w:tr>
      <w:tr>
        <w:trPr>
          <w:cantSplit/>
        </w:trPr>
        <w:tc>
          <w:tcPr>
            <w:tcW w:type="dxa" w:w="22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周末深度块 A</w:t>
            </w:r>
          </w:p>
        </w:tc>
        <w:tc>
          <w:tcPr>
            <w:tcW w:type="dxa" w:w="216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2 小时</w:t>
            </w:r>
          </w:p>
        </w:tc>
        <w:tc>
          <w:tcPr>
            <w:tcW w:type="dxa" w:w="498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完成一个最小垂直切片：先写失败测试或契约示例，再做最小实现。</w:t>
            </w:r>
          </w:p>
        </w:tc>
      </w:tr>
      <w:tr>
        <w:trPr>
          <w:cantSplit/>
        </w:trPr>
        <w:tc>
          <w:tcPr>
            <w:tcW w:type="dxa" w:w="2259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周末深度块 B</w:t>
            </w:r>
          </w:p>
        </w:tc>
        <w:tc>
          <w:tcPr>
            <w:tcW w:type="dxa" w:w="2165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1.5～2 小时</w:t>
            </w:r>
          </w:p>
        </w:tc>
        <w:tc>
          <w:tcPr>
            <w:tcW w:type="dxa" w:w="4987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完成调试、真实 PostgreSQL 测试、OpenAPI 类型生成、复盘与提交。</w:t>
            </w:r>
          </w:p>
        </w:tc>
      </w:tr>
      <w:tr>
        <w:trPr>
          <w:cantSplit/>
        </w:trPr>
        <w:tc>
          <w:tcPr>
            <w:tcW w:type="dxa" w:w="22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工作日轻量块</w:t>
            </w:r>
          </w:p>
        </w:tc>
        <w:tc>
          <w:tcPr>
            <w:tcW w:type="dxa" w:w="216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每周 1～2 次，每次 20～25 分钟</w:t>
            </w:r>
          </w:p>
        </w:tc>
        <w:tc>
          <w:tcPr>
            <w:tcW w:type="dxa" w:w="498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只做低认知事项：阅读官方文档、追踪一次请求链路、整理下个深度块任务或复盘一题算法；不安排硬性交付。</w:t>
            </w:r>
          </w:p>
        </w:tc>
      </w:tr>
      <w:tr>
        <w:trPr>
          <w:cantSplit/>
        </w:trPr>
        <w:tc>
          <w:tcPr>
            <w:tcW w:type="dxa" w:w="2259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算法</w:t>
            </w:r>
          </w:p>
        </w:tc>
        <w:tc>
          <w:tcPr>
            <w:tcW w:type="dxa" w:w="2165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每周 30～45 分钟</w:t>
            </w:r>
          </w:p>
        </w:tc>
        <w:tc>
          <w:tcPr>
            <w:tcW w:type="dxa" w:w="4987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一题或半题即可；记录输入边界、复杂度、失败思路和替代解法。连续加班时允许暂停。</w:t>
            </w:r>
          </w:p>
        </w:tc>
      </w:tr>
      <w:tr>
        <w:trPr>
          <w:cantSplit/>
        </w:trPr>
        <w:tc>
          <w:tcPr>
            <w:tcW w:type="dxa" w:w="22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月末回顾</w:t>
            </w:r>
          </w:p>
        </w:tc>
        <w:tc>
          <w:tcPr>
            <w:tcW w:type="dxa" w:w="216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30 分钟</w:t>
            </w:r>
          </w:p>
        </w:tc>
        <w:tc>
          <w:tcPr>
            <w:tcW w:type="dxa" w:w="498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演示本月成果，更新实际投入、完成证据、阻塞项与下一月唯一调整。</w:t>
            </w:r>
          </w:p>
        </w:tc>
      </w:tr>
    </w:tbl>
    <w:p>
      <w:pPr>
        <w:spacing w:after="120"/>
      </w:pPr>
    </w:p>
    <w:p>
      <w:pPr>
        <w:widowControl/>
        <w:spacing w:after="160" w:line="348"/>
        <w:jc w:val="both"/>
      </w:pPr>
      <w:r>
        <w:t xml:space="preserve">通勤时间不作为必需编码时间。通勤可选用于听课、阅读或复盘；涉及建模、编码、调试、迁移和测试的任务固定放在周末深度块。</w:t>
      </w:r>
    </w:p>
    <w:p>
      <w:pPr>
        <w:pStyle w:val="Heading1"/>
      </w:pPr>
      <w:r>
        <w:t xml:space="preserve">三、容量与节奏规则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绿色周（≥5 小时）：完成本周必做项后，再做一个小型可选项。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黄色周（3～4 小时）：只做必做项，不新增功能范围。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红色周（≤2 小时）：只运行检查、修一个小问题或写下一步说明；不开始新功能，也不在下一周熬夜补回。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每个学习月的退出门槛未通过时，延续当前学习月；不得并行开启后续主题。</w:t>
      </w:r>
    </w:p>
    <w:p>
      <w:r>
        <w:br w:type="page"/>
      </w:r>
    </w:p>
    <w:p>
      <w:pPr>
        <w:pStyle w:val="Heading1"/>
      </w:pPr>
      <w:r>
        <w:t xml:space="preserve">四、七个学习月总览</w:t>
      </w:r>
    </w:p>
    <w:tbl>
      <w:tblPr>
        <w:tblW w:type="dxa" w:w="9411"/>
        <w:tblBorders>
          <w:top w:val="single" w:color="EAF1F7" w:sz="4"/>
          <w:left w:val="single" w:color="EAF1F7" w:sz="4"/>
          <w:bottom w:val="single" w:color="EAF1F7" w:sz="4"/>
          <w:right w:val="single" w:color="EAF1F7" w:sz="4"/>
          <w:insideH w:val="single" w:color="EAF1F7" w:sz="4"/>
          <w:insideV w:val="single" w:color="EAF1F7" w:sz="4"/>
        </w:tblBorders>
        <w:tblLayout w:type="fixed"/>
      </w:tblPr>
      <w:tblGrid>
        <w:gridCol w:w="2259"/>
        <w:gridCol w:w="3388"/>
        <w:gridCol w:w="3764"/>
      </w:tblGrid>
      <w:tr>
        <w:trPr>
          <w:cantSplit/>
          <w:tblHeader/>
        </w:trPr>
        <w:tc>
          <w:tcPr>
            <w:tcW w:type="dxa" w:w="2259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学习月与时间</w:t>
            </w:r>
          </w:p>
        </w:tc>
        <w:tc>
          <w:tcPr>
            <w:tcW w:type="dxa" w:w="338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主目标</w:t>
            </w:r>
          </w:p>
        </w:tc>
        <w:tc>
          <w:tcPr>
            <w:tcW w:type="dxa" w:w="3764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月末交付</w:t>
            </w:r>
          </w:p>
        </w:tc>
      </w:tr>
      <w:tr>
        <w:trPr>
          <w:cantSplit/>
        </w:trPr>
        <w:tc>
          <w:tcPr>
            <w:tcW w:type="dxa" w:w="22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7"/>
                <w:szCs w:val="17"/>
              </w:rPr>
              <w:t xml:space="preserve">M1
2026-10-12 ～ 2026-11-08</w:t>
            </w:r>
          </w:p>
        </w:tc>
        <w:tc>
          <w:tcPr>
            <w:tcW w:type="dxa" w:w="338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7"/>
                <w:szCs w:val="17"/>
              </w:rPr>
              <w:t xml:space="preserve">业务数据库与认证最小闭环</w:t>
            </w:r>
          </w:p>
        </w:tc>
        <w:tc>
          <w:tcPr>
            <w:tcW w:type="dxa" w:w="37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7"/>
                <w:szCs w:val="17"/>
              </w:rPr>
              <w:t xml:space="preserve">显式 migration、虚构用户 seed、登录/退出/me、首个受认证保护的业务路径。</w:t>
            </w:r>
          </w:p>
        </w:tc>
      </w:tr>
      <w:tr>
        <w:trPr>
          <w:cantSplit/>
        </w:trPr>
        <w:tc>
          <w:tcPr>
            <w:tcW w:type="dxa" w:w="2259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7"/>
                <w:szCs w:val="17"/>
              </w:rPr>
              <w:t xml:space="preserve">M2
2026-11-09 ～ 2026-12-06</w:t>
            </w:r>
          </w:p>
        </w:tc>
        <w:tc>
          <w:tcPr>
            <w:tcW w:type="dxa" w:w="3388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7"/>
                <w:szCs w:val="17"/>
              </w:rPr>
              <w:t xml:space="preserve">分类、流水创建与列表</w:t>
            </w:r>
          </w:p>
        </w:tc>
        <w:tc>
          <w:tcPr>
            <w:tcW w:type="dxa" w:w="3764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7"/>
                <w:szCs w:val="17"/>
              </w:rPr>
              <w:t xml:space="preserve">分类生命周期、流水创建/分页、Web 表单与列表、跨用户隔离测试。</w:t>
            </w:r>
          </w:p>
        </w:tc>
      </w:tr>
      <w:tr>
        <w:trPr>
          <w:cantSplit/>
        </w:trPr>
        <w:tc>
          <w:tcPr>
            <w:tcW w:type="dxa" w:w="22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7"/>
                <w:szCs w:val="17"/>
              </w:rPr>
              <w:t xml:space="preserve">M3
2026-12-07 ～ 2027-01-03</w:t>
            </w:r>
          </w:p>
        </w:tc>
        <w:tc>
          <w:tcPr>
            <w:tcW w:type="dxa" w:w="338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7"/>
                <w:szCs w:val="17"/>
              </w:rPr>
              <w:t xml:space="preserve">流水生命周期、月报与幂等</w:t>
            </w:r>
          </w:p>
        </w:tc>
        <w:tc>
          <w:tcPr>
            <w:tcW w:type="dxa" w:w="37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7"/>
                <w:szCs w:val="17"/>
              </w:rPr>
              <w:t xml:space="preserve">编辑/软删、月报、Idempotency-Key、月报页面和端到端主流程。</w:t>
            </w:r>
          </w:p>
        </w:tc>
      </w:tr>
      <w:tr>
        <w:trPr>
          <w:cantSplit/>
        </w:trPr>
        <w:tc>
          <w:tcPr>
            <w:tcW w:type="dxa" w:w="2259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7"/>
                <w:szCs w:val="17"/>
              </w:rPr>
              <w:t xml:space="preserve">M4
2027-01-04 ～ 2027-01-31</w:t>
            </w:r>
          </w:p>
        </w:tc>
        <w:tc>
          <w:tcPr>
            <w:tcW w:type="dxa" w:w="3388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7"/>
                <w:szCs w:val="17"/>
              </w:rPr>
              <w:t xml:space="preserve">P0 质量门与可靠性</w:t>
            </w:r>
          </w:p>
        </w:tc>
        <w:tc>
          <w:tcPr>
            <w:tcW w:type="dxa" w:w="3764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7"/>
                <w:szCs w:val="17"/>
              </w:rPr>
              <w:t xml:space="preserve">真实 PostgreSQL/HTTP/E2E 回归、并发幂等、事务回滚、查询计划。</w:t>
            </w:r>
          </w:p>
        </w:tc>
      </w:tr>
      <w:tr>
        <w:trPr>
          <w:cantSplit/>
        </w:trPr>
        <w:tc>
          <w:tcPr>
            <w:tcW w:type="dxa" w:w="22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7"/>
                <w:szCs w:val="17"/>
              </w:rPr>
              <w:t xml:space="preserve">M5
2027-02-01 ～ 2027-02-28</w:t>
            </w:r>
          </w:p>
        </w:tc>
        <w:tc>
          <w:tcPr>
            <w:tcW w:type="dxa" w:w="338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7"/>
                <w:szCs w:val="17"/>
              </w:rPr>
              <w:t xml:space="preserve">交付、可观测性与恢复</w:t>
            </w:r>
          </w:p>
        </w:tc>
        <w:tc>
          <w:tcPr>
            <w:tcW w:type="dxa" w:w="37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7"/>
                <w:szCs w:val="17"/>
              </w:rPr>
              <w:t xml:space="preserve">CI、请求 ID、脱敏日志、备份恢复、预览或部署演练。</w:t>
            </w:r>
          </w:p>
        </w:tc>
      </w:tr>
      <w:tr>
        <w:trPr>
          <w:cantSplit/>
        </w:trPr>
        <w:tc>
          <w:tcPr>
            <w:tcW w:type="dxa" w:w="2259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7"/>
                <w:szCs w:val="17"/>
              </w:rPr>
              <w:t xml:space="preserve">M6
2027-03-01 ～ 2027-03-28</w:t>
            </w:r>
          </w:p>
        </w:tc>
        <w:tc>
          <w:tcPr>
            <w:tcW w:type="dxa" w:w="3388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7"/>
                <w:szCs w:val="17"/>
              </w:rPr>
              <w:t xml:space="preserve">受限只读 AI 核心</w:t>
            </w:r>
          </w:p>
        </w:tc>
        <w:tc>
          <w:tcPr>
            <w:tcW w:type="dxa" w:w="3764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7"/>
                <w:szCs w:val="17"/>
              </w:rPr>
              <w:t xml:space="preserve">ModelAdapter、结构化计划、只读工具网关、事实卡片和最小 AI 页面。</w:t>
            </w:r>
          </w:p>
        </w:tc>
      </w:tr>
      <w:tr>
        <w:trPr>
          <w:cantSplit/>
        </w:trPr>
        <w:tc>
          <w:tcPr>
            <w:tcW w:type="dxa" w:w="22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7"/>
                <w:szCs w:val="17"/>
              </w:rPr>
              <w:t xml:space="preserve">M7
2027-03-29 ～ 2027-04-25</w:t>
            </w:r>
          </w:p>
        </w:tc>
        <w:tc>
          <w:tcPr>
            <w:tcW w:type="dxa" w:w="338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7"/>
                <w:szCs w:val="17"/>
              </w:rPr>
              <w:t xml:space="preserve">真实评测与项目收口</w:t>
            </w:r>
          </w:p>
        </w:tc>
        <w:tc>
          <w:tcPr>
            <w:tcW w:type="dxa" w:w="37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7"/>
                <w:szCs w:val="17"/>
              </w:rPr>
              <w:t xml:space="preserve">30 条评测、成本/延迟记录、启动文档、演示脚本和第三方验收。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五、各学习月的行动清单</w:t>
      </w:r>
    </w:p>
    <w:p>
      <w:pPr>
        <w:pStyle w:val="Heading2"/>
      </w:pPr>
      <w:r>
        <w:t xml:space="preserve">M1｜业务数据库与认证最小闭环</w:t>
      </w:r>
    </w:p>
    <w:p>
      <w:pPr>
        <w:widowControl/>
        <w:spacing w:after="50" w:line="348"/>
        <w:jc w:val="both"/>
      </w:pPr>
      <w:r>
        <w:t xml:space="preserve">2026-10-12 ～ 2026-11-08</w:t>
      </w:r>
    </w:p>
    <w:p>
      <w:pPr>
        <w:widowControl/>
        <w:spacing w:after="60" w:line="348"/>
        <w:jc w:val="both"/>
      </w:pPr>
      <w:r>
        <w:t xml:space="preserve">学习重点：学习 TypeORM Entity、Repository、Migration、DataSource、QueryRunner，以及 PostgreSQL 约束和事务基础。</w:t>
      </w:r>
    </w:p>
    <w:p>
      <w:pPr>
        <w:widowControl/>
        <w:spacing w:after="30" w:line="348"/>
        <w:jc w:val="both"/>
      </w:pPr>
      <w:r>
        <w:t xml:space="preserve">必做事项：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实现显式 migration 命令和虚构用户 seed；应用启动不得自动改表。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建立 User/Session 的最小数据模型与 AuthModule：登录、退出、GET /auth/me。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密码使用成熟的异步哈希方案；无公开注册；所有密钥只在服务端环境变量中存在。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实现首个受认证保护的业务路径：优先创建分类；认证按计划完成后再创建第一条虚构流水。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 只做登录、当前身份和错误态，不做复杂视觉设计。</w:t>
      </w:r>
    </w:p>
    <w:p>
      <w:pPr>
        <w:widowControl/>
        <w:spacing w:after="150" w:line="348"/>
        <w:jc w:val="both"/>
      </w:pPr>
      <w:r>
        <w:t xml:space="preserve">退出门槛：空数据库能完成 migration → seed → 启动 → 登录；A/B 账号互相不可见；认证与真实 PostgreSQL 集成测试通过；OpenAPI 与 Web 类型同步。</w:t>
      </w:r>
    </w:p>
    <w:p>
      <w:pPr>
        <w:pStyle w:val="Heading2"/>
      </w:pPr>
      <w:r>
        <w:t xml:space="preserve">M2｜分类、流水创建与列表</w:t>
      </w:r>
    </w:p>
    <w:p>
      <w:pPr>
        <w:widowControl/>
        <w:spacing w:after="50" w:line="348"/>
        <w:jc w:val="both"/>
      </w:pPr>
      <w:r>
        <w:t xml:space="preserve">2026-11-09 ～ 2026-12-06</w:t>
      </w:r>
    </w:p>
    <w:p>
      <w:pPr>
        <w:widowControl/>
        <w:spacing w:after="60" w:line="348"/>
        <w:jc w:val="both"/>
      </w:pPr>
      <w:r>
        <w:t xml:space="preserve">学习重点：学习 Nest Guard/Pipe/Filter、服务层逐对象授权、Zod 输入校验和金额字符串的端到端处理。</w:t>
      </w:r>
    </w:p>
    <w:p>
      <w:pPr>
        <w:widowControl/>
        <w:spacing w:after="30" w:line="348"/>
        <w:jc w:val="both"/>
      </w:pPr>
      <w:r>
        <w:t xml:space="preserve">必做事项：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实现分类创建、列表、改名和归档；归档分类不可再用于新增流水。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实现流水创建和列表分页；查询始终按当前会话 userId 约束。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完成分类页、流水列表页和创建表单；优先空态、字段错误和移动端可用性。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每个接口先补 HTTP/数据库测试，再生成 OpenAPI 与 Web 类型。</w:t>
      </w:r>
    </w:p>
    <w:p>
      <w:pPr>
        <w:widowControl/>
        <w:spacing w:after="150" w:line="348"/>
        <w:jc w:val="both"/>
      </w:pPr>
      <w:r>
        <w:t xml:space="preserve">退出门槛：登录后能创建分类和流水并在列表中查看；非法金额、非法日期、跨用户分类和归档分类均被拒绝。</w:t>
      </w:r>
    </w:p>
    <w:p>
      <w:pPr>
        <w:pStyle w:val="Heading2"/>
      </w:pPr>
      <w:r>
        <w:t xml:space="preserve">M3｜流水生命周期、月报与基础幂等</w:t>
      </w:r>
    </w:p>
    <w:p>
      <w:pPr>
        <w:widowControl/>
        <w:spacing w:after="50" w:line="348"/>
        <w:jc w:val="both"/>
      </w:pPr>
      <w:r>
        <w:t xml:space="preserve">2026-12-07 ～ 2027-01-03</w:t>
      </w:r>
    </w:p>
    <w:p>
      <w:pPr>
        <w:widowControl/>
        <w:spacing w:after="60" w:line="348"/>
        <w:jc w:val="both"/>
      </w:pPr>
      <w:r>
        <w:t xml:space="preserve">学习重点：学习 SQL 聚合、GROUP BY、SUM、上海时区月边界、软删除和 TypeORM 事务。</w:t>
      </w:r>
    </w:p>
    <w:p>
      <w:pPr>
        <w:widowControl/>
        <w:spacing w:after="30" w:line="348"/>
        <w:jc w:val="both"/>
      </w:pPr>
      <w:r>
        <w:t xml:space="preserve">必做事项：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实现流水编辑、软删除、筛选以及 Idempotency-Key 与幂等记录。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实现月报：收入、支出、净额、分类分布、无记录状态；金额全程不转为 JavaScript Number。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完成月报页面、月份筛选、空态和接口失败态。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实现并演示主流程：登录 → 分类 → 新增 → 月报 → 编辑/删除 → 退出。</w:t>
      </w:r>
    </w:p>
    <w:p>
      <w:pPr>
        <w:widowControl/>
        <w:spacing w:after="150" w:line="348"/>
        <w:jc w:val="both"/>
      </w:pPr>
      <w:r>
        <w:t xml:space="preserve">退出门槛：同键同请求只产生一笔流水；同键不同请求体返回 409；月报可用独立 SQL 对账，分类之和与总额一致。</w:t>
      </w:r>
    </w:p>
    <w:p>
      <w:pPr>
        <w:pStyle w:val="Heading2"/>
      </w:pPr>
      <w:r>
        <w:t xml:space="preserve">M4｜P0 质量门、事务与并发可靠性</w:t>
      </w:r>
    </w:p>
    <w:p>
      <w:pPr>
        <w:widowControl/>
        <w:spacing w:after="50" w:line="348"/>
        <w:jc w:val="both"/>
      </w:pPr>
      <w:r>
        <w:t xml:space="preserve">2027-01-04 ～ 2027-01-31</w:t>
      </w:r>
    </w:p>
    <w:p>
      <w:pPr>
        <w:widowControl/>
        <w:spacing w:after="60" w:line="348"/>
        <w:jc w:val="both"/>
      </w:pPr>
      <w:r>
        <w:t xml:space="preserve">学习重点：将功能收敛为可信的 P0，重点学习事务边界、并发、锁和 EXPLAIN ANALYZE。</w:t>
      </w:r>
    </w:p>
    <w:p>
      <w:pPr>
        <w:widowControl/>
        <w:spacing w:after="30" w:line="348"/>
        <w:jc w:val="both"/>
      </w:pPr>
      <w:r>
        <w:t xml:space="preserve">必做事项：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补齐 P0 HTTP、真实 PostgreSQL、Web E2E 用例：越权、金额/日期边界、空态、失败重试和分页。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使用同一 QueryRunner/EntityManager 写入流水与幂等记录，并验证事务失败回滚。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验证 20 个并发相同幂等请求只新增一笔；覆盖分类归档与新建流水的竞态。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生成虚构数据并使用 EXPLAIN ANALYZE 检查月报索引和查询计划。</w:t>
      </w:r>
    </w:p>
    <w:p>
      <w:pPr>
        <w:widowControl/>
        <w:spacing w:after="150" w:line="348"/>
        <w:jc w:val="both"/>
      </w:pPr>
      <w:r>
        <w:t xml:space="preserve">退出门槛：完整 P0 流程可在手机与桌面演示；测试证明数据隔离、幂等、金额和月报正确；有 SQL 查询计划记录。</w:t>
      </w:r>
    </w:p>
    <w:p>
      <w:pPr>
        <w:pStyle w:val="Heading2"/>
      </w:pPr>
      <w:r>
        <w:t xml:space="preserve">M5｜交付、可观测性与恢复</w:t>
      </w:r>
    </w:p>
    <w:p>
      <w:pPr>
        <w:widowControl/>
        <w:spacing w:after="50" w:line="348"/>
        <w:jc w:val="both"/>
      </w:pPr>
      <w:r>
        <w:t xml:space="preserve">2027-02-01 ～ 2027-02-28</w:t>
      </w:r>
    </w:p>
    <w:p>
      <w:pPr>
        <w:widowControl/>
        <w:spacing w:after="60" w:line="348"/>
        <w:jc w:val="both"/>
      </w:pPr>
      <w:r>
        <w:t xml:space="preserve">学习重点：学习 CI、请求 ID、结构化日志、数据库连接池、备份恢复和同源 HTTPS Cookie 配置。</w:t>
      </w:r>
    </w:p>
    <w:p>
      <w:pPr>
        <w:widowControl/>
        <w:spacing w:after="30" w:line="348"/>
        <w:jc w:val="both"/>
      </w:pPr>
      <w:r>
        <w:t xml:space="preserve">必做事项：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建立 CI：安装、类型检查、API/Web 测试、构建和显式 migration 检查。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补充脱敏日志和统一错误结构；能够沿 requestId 定位一次失败请求。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完成一次虚构数据库备份/恢复与月报抽样核对。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完成可复现预览环境或同等部署演练；不因部署困难绕过 HTTPS、Cookie 或密钥隔离。</w:t>
      </w:r>
    </w:p>
    <w:p>
      <w:pPr>
        <w:widowControl/>
        <w:spacing w:after="150" w:line="348"/>
        <w:jc w:val="both"/>
      </w:pPr>
      <w:r>
        <w:t xml:space="preserve">退出门槛：干净环境可 migration、seed、测试、启动；CI 有成功记录；备份恢复有操作记录和对账结果。</w:t>
      </w:r>
    </w:p>
    <w:p>
      <w:pPr>
        <w:pStyle w:val="Heading2"/>
      </w:pPr>
      <w:r>
        <w:t xml:space="preserve">M6｜受限只读 AI 核心</w:t>
      </w:r>
    </w:p>
    <w:p>
      <w:pPr>
        <w:widowControl/>
        <w:spacing w:after="50" w:line="348"/>
        <w:jc w:val="both"/>
      </w:pPr>
      <w:r>
        <w:t xml:space="preserve">2027-03-01 ～ 2027-03-28</w:t>
      </w:r>
    </w:p>
    <w:p>
      <w:pPr>
        <w:widowControl/>
        <w:spacing w:after="60" w:line="348"/>
        <w:jc w:val="both"/>
      </w:pPr>
      <w:r>
        <w:t xml:space="preserve">学习重点：学习 ModelAdapter、结构化输出、Zod 校验、超时、预算和提示注入防护。</w:t>
      </w:r>
    </w:p>
    <w:p>
      <w:pPr>
        <w:widowControl/>
        <w:spacing w:after="30" w:line="348"/>
        <w:jc w:val="both"/>
      </w:pPr>
      <w:r>
        <w:t xml:space="preserve">必做事项：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实现 AiModule：模型只输出有限工具计划，服务端白名单执行月报、分类汇总和最近流水等只读工具。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模型不得传 userId、任意 SQL、URL 或写操作；身份只能来自会话。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服务端生成事实卡片和金额结论，模型只做解释；记录费用/耗时/错误元数据。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实现最小 AI 页面：加载、拒绝、超时和上游 503 状态。</w:t>
      </w:r>
    </w:p>
    <w:p>
      <w:pPr>
        <w:widowControl/>
        <w:spacing w:after="150" w:line="348"/>
        <w:jc w:val="both"/>
      </w:pPr>
      <w:r>
        <w:t xml:space="preserve">退出门槛：畸形计划、恶意分类名称、越权和上游失败均安全失败；普通账本功能不受模型故障影响。</w:t>
      </w:r>
    </w:p>
    <w:p>
      <w:pPr>
        <w:pStyle w:val="Heading2"/>
      </w:pPr>
      <w:r>
        <w:t xml:space="preserve">M7｜真实评测、收口与可展示交付</w:t>
      </w:r>
    </w:p>
    <w:p>
      <w:pPr>
        <w:widowControl/>
        <w:spacing w:after="50" w:line="348"/>
        <w:jc w:val="both"/>
      </w:pPr>
      <w:r>
        <w:t xml:space="preserve">2027-03-29 ～ 2027-04-25</w:t>
      </w:r>
    </w:p>
    <w:p>
      <w:pPr>
        <w:widowControl/>
        <w:spacing w:after="60" w:line="348"/>
        <w:jc w:val="both"/>
      </w:pPr>
      <w:r>
        <w:t xml:space="preserve">学习重点：停止增加框架，用评测、文档和演示证明项目可靠且可解释。</w:t>
      </w:r>
    </w:p>
    <w:p>
      <w:pPr>
        <w:widowControl/>
        <w:spacing w:after="30" w:line="348"/>
        <w:jc w:val="both"/>
      </w:pPr>
      <w:r>
        <w:t xml:space="preserve">必做事项：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建立至少 30 条虚构账本 AI 评测：正常问题、歧义、恶意输入、超时、越权和供应商故障。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记录通过率、错误分类、p95 延迟、单次与总成本；修复高优先级问题。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整理启动说明、架构图、迁移/种子/恢复说明、演示脚本与关键取舍。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从未来 iOS 客户端角度审查 API 契约：金额、分页、错误码与认证边界；不启动 iOS 客户端实现。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让第三方按文档从零启动并完成一次验收。</w:t>
      </w:r>
    </w:p>
    <w:p>
      <w:pPr>
        <w:widowControl/>
        <w:spacing w:after="150" w:line="348"/>
        <w:jc w:val="both"/>
      </w:pPr>
      <w:r>
        <w:t xml:space="preserve">退出门槛：有可复现的 AI 评测报告、演示记录和从零启动证据；所有已完成能力都有对应验证。</w:t>
      </w:r>
    </w:p>
    <w:p>
      <w:pPr>
        <w:pStyle w:val="Heading1"/>
      </w:pPr>
      <w:r>
        <w:t xml:space="preserve">六、算法并行安排</w:t>
      </w:r>
    </w:p>
    <w:tbl>
      <w:tblPr>
        <w:tblW w:type="dxa" w:w="9411"/>
        <w:tblBorders>
          <w:top w:val="single" w:color="EAF1F7" w:sz="4"/>
          <w:left w:val="single" w:color="EAF1F7" w:sz="4"/>
          <w:bottom w:val="single" w:color="EAF1F7" w:sz="4"/>
          <w:right w:val="single" w:color="EAF1F7" w:sz="4"/>
          <w:insideH w:val="single" w:color="EAF1F7" w:sz="4"/>
          <w:insideV w:val="single" w:color="EAF1F7" w:sz="4"/>
        </w:tblBorders>
        <w:tblLayout w:type="fixed"/>
      </w:tblPr>
      <w:tblGrid>
        <w:gridCol w:w="1412"/>
        <w:gridCol w:w="3294"/>
        <w:gridCol w:w="4705"/>
      </w:tblGrid>
      <w:tr>
        <w:trPr>
          <w:cantSplit/>
          <w:tblHeader/>
        </w:trPr>
        <w:tc>
          <w:tcPr>
            <w:tcW w:type="dxa" w:w="1412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阶段</w:t>
            </w:r>
          </w:p>
        </w:tc>
        <w:tc>
          <w:tcPr>
            <w:tcW w:type="dxa" w:w="3294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主题</w:t>
            </w:r>
          </w:p>
        </w:tc>
        <w:tc>
          <w:tcPr>
            <w:tcW w:type="dxa" w:w="4705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完成标准</w:t>
            </w:r>
          </w:p>
        </w:tc>
      </w:tr>
      <w:tr>
        <w:trPr>
          <w:cantSplit/>
        </w:trPr>
        <w:tc>
          <w:tcPr>
            <w:tcW w:type="dxa" w:w="14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dxa" w:w="329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数组、哈希表、Big-O</w:t>
            </w:r>
          </w:p>
        </w:tc>
        <w:tc>
          <w:tcPr>
            <w:tcW w:type="dxa" w:w="470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能说明输入边界、时间/空间复杂度。</w:t>
            </w:r>
          </w:p>
        </w:tc>
      </w:tr>
      <w:tr>
        <w:trPr>
          <w:cantSplit/>
        </w:trPr>
        <w:tc>
          <w:tcPr>
            <w:tcW w:type="dxa" w:w="1412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3294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双指针、滑动窗口、栈/队列</w:t>
            </w:r>
          </w:p>
        </w:tc>
        <w:tc>
          <w:tcPr>
            <w:tcW w:type="dxa" w:w="4705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能独立写出基础模板并解释窗口变化。</w:t>
            </w:r>
          </w:p>
        </w:tc>
      </w:tr>
      <w:tr>
        <w:trPr>
          <w:cantSplit/>
        </w:trPr>
        <w:tc>
          <w:tcPr>
            <w:tcW w:type="dxa" w:w="14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329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排序、二分、前缀和</w:t>
            </w:r>
          </w:p>
        </w:tc>
        <w:tc>
          <w:tcPr>
            <w:tcW w:type="dxa" w:w="470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能分析分页、范围查询和边界条件。</w:t>
            </w:r>
          </w:p>
        </w:tc>
      </w:tr>
      <w:tr>
        <w:trPr>
          <w:cantSplit/>
        </w:trPr>
        <w:tc>
          <w:tcPr>
            <w:tcW w:type="dxa" w:w="1412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M4</w:t>
            </w:r>
          </w:p>
        </w:tc>
        <w:tc>
          <w:tcPr>
            <w:tcW w:type="dxa" w:w="3294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树、图的 DFS/BFS</w:t>
            </w:r>
          </w:p>
        </w:tc>
        <w:tc>
          <w:tcPr>
            <w:tcW w:type="dxa" w:w="4705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能解释递归/迭代的选择和访问标记。</w:t>
            </w:r>
          </w:p>
        </w:tc>
      </w:tr>
      <w:tr>
        <w:trPr>
          <w:cantSplit/>
        </w:trPr>
        <w:tc>
          <w:tcPr>
            <w:tcW w:type="dxa" w:w="14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M5</w:t>
            </w:r>
          </w:p>
        </w:tc>
        <w:tc>
          <w:tcPr>
            <w:tcW w:type="dxa" w:w="329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堆、优先队列、Top-K</w:t>
            </w:r>
          </w:p>
        </w:tc>
        <w:tc>
          <w:tcPr>
            <w:tcW w:type="dxa" w:w="470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能解决小规模任务调度或 Top-K 问题。</w:t>
            </w:r>
          </w:p>
        </w:tc>
      </w:tr>
      <w:tr>
        <w:trPr>
          <w:cantSplit/>
        </w:trPr>
        <w:tc>
          <w:tcPr>
            <w:tcW w:type="dxa" w:w="1412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M6</w:t>
            </w:r>
          </w:p>
        </w:tc>
        <w:tc>
          <w:tcPr>
            <w:tcW w:type="dxa" w:w="3294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基础动态规划</w:t>
            </w:r>
          </w:p>
        </w:tc>
        <w:tc>
          <w:tcPr>
            <w:tcW w:type="dxa" w:w="4705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能定义状态、转移和初始条件。</w:t>
            </w:r>
          </w:p>
        </w:tc>
      </w:tr>
      <w:tr>
        <w:trPr>
          <w:cantSplit/>
        </w:trPr>
        <w:tc>
          <w:tcPr>
            <w:tcW w:type="dxa" w:w="14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M7</w:t>
            </w:r>
          </w:p>
        </w:tc>
        <w:tc>
          <w:tcPr>
            <w:tcW w:type="dxa" w:w="329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错题复盘</w:t>
            </w:r>
          </w:p>
        </w:tc>
        <w:tc>
          <w:tcPr>
            <w:tcW w:type="dxa" w:w="470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8"/>
                <w:szCs w:val="18"/>
              </w:rPr>
              <w:t xml:space="preserve">整理 12～20 道真正能完整讲清的题。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七、范围与延期规则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月末退出门槛未通过时，不并行启动下一个学习月；先完成当前主题的验证证据。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工作或通勤导致容量下降时，先暂停算法、图表、视觉优化和公开预览；再顺延 AI。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无论何时都不删减：对象权限、数据库约束、金额精度、真实 PostgreSQL 测试、幂等、密码/会话安全和休息。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Redis、队列、RAG、MCP、多 Agent、微服务、Kubernetes 和 iOS 客户端不在本期范围内；只有明确需求或性能证据出现时才单独立项。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每个月只有一个主主题；新想法写入待评估列表，不插入当周任务。</w:t>
      </w:r>
    </w:p>
    <w:p>
      <w:pPr>
        <w:pStyle w:val="Heading1"/>
      </w:pPr>
      <w:r>
        <w:t xml:space="preserve">八、启动周末与前两周</w:t>
      </w:r>
    </w:p>
    <w:p>
      <w:pPr>
        <w:widowControl/>
        <w:spacing w:after="160" w:line="348"/>
        <w:jc w:val="both"/>
      </w:pPr>
      <w:r>
        <w:t xml:space="preserve">2026-10-09 ～ 2026-10-11：只做准备，不开始大功能。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在日历固定两个周末深度块和一个工作日 20 分钟复盘块。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运行现有检查和数据库 smoke，记录一次真实耗时；环境异常时先修复环境。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把 M1 拆为不超过两小时的任务卡：migration 设计、migration 命令、User Entity、Repository 测试、seed、登录、me、退出。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建立学习日志：日期、实际投入、完成证据、阻塞点、下个深度块唯一任务。</w:t>
      </w:r>
    </w:p>
    <w:p>
      <w:pPr>
        <w:widowControl/>
        <w:spacing w:after="160" w:line="348"/>
        <w:jc w:val="both"/>
      </w:pPr>
      <w:r>
        <w:t xml:space="preserve">第 1 周（10-12 ～ 10-18）完成 schema 决策、migration 方案和第一个失败的数据库测试；第 2 周完成 migration/seed 与 User Repository。认证尚未具备测试和数据基础时，不提前做前端页面。</w:t>
      </w:r>
    </w:p>
    <w:p>
      <w:pPr>
        <w:pStyle w:val="Heading1"/>
      </w:pPr>
      <w:r>
        <w:t xml:space="preserve">九、每月维护方式</w:t>
      </w:r>
    </w:p>
    <w:p>
      <w:pPr>
        <w:widowControl/>
        <w:spacing w:after="160" w:line="348"/>
        <w:jc w:val="both"/>
      </w:pPr>
      <w:r>
        <w:t xml:space="preserve">每个学习月结束时，只记录实际完成日期、实际投入时间、退出门槛证据、未完成原因和下一月范围调整。计划的日期可顺延，质量门槛不降低。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64748B"/>
        <w:sz w:val="18"/>
        <w:szCs w:val="18"/>
      </w:rPr>
      <w:t xml:space="preserve">个人学习项目 · 仅使用虚构数据 · 2026-10-09</w:t>
    </w:r>
    <w:r>
      <w:rPr>
        <w:color w:val="64748B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1F2937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1F2937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64748B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个人账本全栈学习计划</dc:title>
  <dc:creator>程小帮</dc:creator>
  <cp:lastModifiedBy>Un-named</cp:lastModifiedBy>
  <cp:revision>1</cp:revision>
  <dcterms:created xsi:type="dcterms:W3CDTF">2026-10-09T07:44:53.092Z</dcterms:created>
  <dcterms:modified xsi:type="dcterms:W3CDTF">2026-10-09T07:44:53.101Z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