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M2｜分类、流水创建与列表｜PRD</w:t>
      </w:r>
    </w:p>
    <w:p>
      <w:pPr>
        <w:pStyle w:val="Subtitle"/>
        <w:jc w:val="left"/>
      </w:pPr>
      <w:r>
        <w:t xml:space="preserve">2026-11-09 ～ 2026-12-06｜阶段实施设计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文档用途：定义用户、范围、接口行为、错误反馈与产品验收。</w:t>
      </w:r>
    </w:p>
    <w:p>
      <w:pPr>
        <w:widowControl/>
        <w:spacing w:after="160" w:line="348"/>
        <w:jc w:val="both"/>
      </w:pPr>
      <w:r>
        <w:t xml:space="preserve">前置门：M1 的显式 migration、虚构账号、持久化会话、Origin/CSRF、登录/退出/me 与首次业务请求生命周期已通过验收。</w:t>
      </w:r>
    </w:p>
    <w:p>
      <w:pPr>
        <w:widowControl/>
        <w:spacing w:after="160" w:line="348"/>
        <w:jc w:val="both"/>
      </w:pPr>
      <w:r>
        <w:t xml:space="preserve">阶段产出：本人分类管理、创建流水与分页列表、基本 Web 页面、字段错误与跨用户隔离证据。公开创建接口必须满足基础事务幂等，不能先发布会重复记账的版本。</w:t>
      </w:r>
    </w:p>
    <w:p>
      <w:pPr>
        <w:pStyle w:val="Heading1"/>
      </w:pPr>
      <w:r>
        <w:t xml:space="preserve">一、用户故事与范围</w:t>
      </w:r>
    </w:p>
    <w:p>
      <w:pPr>
        <w:widowControl/>
        <w:spacing w:after="160" w:line="348"/>
        <w:jc w:val="both"/>
      </w:pPr>
      <w:r>
        <w:t xml:space="preserve">作为登录用户，我能建立收入/支出分类，将一笔虚构 CNY 收支记入自己的分类，并按月份/方向/分类查看记录。</w:t>
      </w:r>
    </w:p>
    <w:p>
      <w:pPr>
        <w:widowControl/>
        <w:spacing w:after="160" w:line="348"/>
        <w:jc w:val="both"/>
      </w:pPr>
      <w:r>
        <w:t xml:space="preserve">必做：分类创建/列表/改名/归档、流水创建/分页、金额/日期校验、对象权限、Web分类页/新增页/列表页。流水编辑/删除、月报在M3，不做预算、导入、多币种或图表。</w:t>
      </w:r>
    </w:p>
    <w:p>
      <w:pPr>
        <w:widowControl/>
        <w:spacing w:after="160" w:line="348"/>
        <w:jc w:val="both"/>
      </w:pPr>
      <w:r>
        <w:t xml:space="preserve">分类名在同一用户和方向下忽略大小写后不重复；trim后1～30字符，方向income/expense创建后不可改变。已归档分类不出现在新增选择器，历史显示仍可读。</w:t>
      </w:r>
    </w:p>
    <w:p>
      <w:pPr>
        <w:pStyle w:val="Heading1"/>
      </w:pPr>
      <w:r>
        <w:t xml:space="preserve">二、功能验收编号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1882"/>
        <w:gridCol w:w="7529"/>
      </w:tblGrid>
      <w:tr>
        <w:trPr>
          <w:cantSplit/>
          <w:tblHeader/>
        </w:trPr>
        <w:tc>
          <w:tcPr>
            <w:tcW w:type="dxa" w:w="188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编号</w:t>
            </w:r>
          </w:p>
        </w:tc>
        <w:tc>
          <w:tcPr>
            <w:tcW w:type="dxa" w:w="7529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产品行为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M2-R01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本人能创建分类；同方向有效重名409；A/B可各有同名分类。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M2-R02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改名更新历史展示名称；归档不可逆（本期无恢复），不删除历史流水；归档后可新建同名不同ID分类。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M2-R03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创建流水金额严格正整数分字符串，单笔≤999999999分；仅CNY；发生时间带时区；备注最多200字符。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M2-R04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分类必须属于本人、方向匹配且未归档；他人分类404，归档/方向冲突409。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M2-R05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创建必带UUID Idempotency-Key；同用户同键同规范体返回首次201，不同体409；所有相关记录同事务写入。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M2-R06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month为YYYY-MM；默认20/页，最大100；列表只含本人未删流水，排序稳定。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M2-R07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Web支持加载、空态、字段错误、服务错误、重试；请求重试沿用同一键，不以按钮disabled代替服务幂等。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三、阶段接口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3482"/>
        <w:gridCol w:w="5929"/>
      </w:tblGrid>
      <w:tr>
        <w:trPr>
          <w:cantSplit/>
          <w:tblHeader/>
        </w:trPr>
        <w:tc>
          <w:tcPr>
            <w:tcW w:type="dxa" w:w="348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接口</w:t>
            </w:r>
          </w:p>
        </w:tc>
        <w:tc>
          <w:tcPr>
            <w:tcW w:type="dxa" w:w="5929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契约</w:t>
            </w:r>
          </w:p>
        </w:tc>
      </w:tr>
      <w:tr>
        <w:trPr>
          <w:cantSplit/>
        </w:trPr>
        <w:tc>
          <w:tcPr>
            <w:tcW w:type="dxa" w:w="34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GET/POST /api/v1/categories</w:t>
            </w:r>
          </w:p>
        </w:tc>
        <w:tc>
          <w:tcPr>
            <w:tcW w:type="dxa" w:w="59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列表可按direction过滤；默认返回活动分类，includeArchived=true用于历史；POST{name,direction}→201。</w:t>
            </w:r>
          </w:p>
        </w:tc>
      </w:tr>
      <w:tr>
        <w:trPr>
          <w:cantSplit/>
        </w:trPr>
        <w:tc>
          <w:tcPr>
            <w:tcW w:type="dxa" w:w="34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PATCH /api/v1/categories/{id}</w:t>
            </w:r>
          </w:p>
        </w:tc>
        <w:tc>
          <w:tcPr>
            <w:tcW w:type="dxa" w:w="59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仅{name}或{archived:true}；UUID校验；方向字段拒绝；修改200；归档重复提交保持200。</w:t>
            </w:r>
          </w:p>
        </w:tc>
      </w:tr>
      <w:tr>
        <w:trPr>
          <w:cantSplit/>
        </w:trPr>
        <w:tc>
          <w:tcPr>
            <w:tcW w:type="dxa" w:w="34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POST /api/v1/entries</w:t>
            </w:r>
          </w:p>
        </w:tc>
        <w:tc>
          <w:tcPr>
            <w:tcW w:type="dxa" w:w="59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{direction,categoryId,amountMinor,currency,occurredAt,note?} + Idempotency-Key →201及Location。</w:t>
            </w:r>
          </w:p>
        </w:tc>
      </w:tr>
      <w:tr>
        <w:trPr>
          <w:cantSplit/>
        </w:trPr>
        <w:tc>
          <w:tcPr>
            <w:tcW w:type="dxa" w:w="34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GET /api/v1/entries</w:t>
            </w:r>
          </w:p>
        </w:tc>
        <w:tc>
          <w:tcPr>
            <w:tcW w:type="dxa" w:w="59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month必需，direction/categoryId可选，page/pageSize；返回items/page/pageSize/total。offset最多10000，超出400。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四、数据与交互口径</w:t>
      </w:r>
    </w:p>
    <w:p>
      <w:pPr>
        <w:widowControl/>
        <w:spacing w:after="160" w:line="348"/>
        <w:jc w:val="both"/>
      </w:pPr>
      <w:r>
        <w:t xml:space="preserve">amountMinor使用规范十进制字符串（如32050），不接受0、负数、小数、指数、空白、前导零。Web的“320.50元”按字符串拆分转32050分，不能浮点乘100。</w:t>
      </w:r>
    </w:p>
    <w:p>
      <w:pPr>
        <w:widowControl/>
        <w:spacing w:after="160" w:line="348"/>
        <w:jc w:val="both"/>
      </w:pPr>
      <w:r>
        <w:t xml:space="preserve">occurredAt由客户端提交带偏移ISO时间，服务端规范化UTC；月份按Asia/Shanghai的半开边界筛选。列表与后续月报共用时间函数。</w:t>
      </w:r>
    </w:p>
    <w:p>
      <w:pPr>
        <w:widowControl/>
        <w:spacing w:after="160" w:line="348"/>
        <w:jc w:val="both"/>
      </w:pPr>
      <w:r>
        <w:t xml:space="preserve">列表错误可重试；新增未知结果时保留原请求体/键并提示“结果待确认，可重试”，参数变化后才创建新操作键。401清用户缓存，换账号不得显示上一个账号数据。</w:t>
      </w:r>
    </w:p>
    <w:p>
      <w:pPr>
        <w:widowControl/>
        <w:spacing w:after="160" w:line="348"/>
        <w:jc w:val="both"/>
      </w:pPr>
      <w:r>
        <w:t xml:space="preserve">分类改名影响历史名称展示，金额不变；归档后同名分类按ID分开展示并标记归档。本阶段定义该规则供M3报表沿用，尚非已实现声明。</w:t>
      </w:r>
    </w:p>
    <w:p>
      <w:pPr>
        <w:pStyle w:val="Heading1"/>
      </w:pPr>
      <w:r>
        <w:t xml:space="preserve">五、退出门槛</w:t>
      </w:r>
    </w:p>
    <w:p>
      <w:pPr>
        <w:widowControl/>
        <w:spacing w:after="160" w:line="348"/>
        <w:jc w:val="both"/>
      </w:pPr>
      <w:r>
        <w:t xml:space="preserve">A/B账号分类和流水互不可见；数据库复合外键拒绝跨用户引用；缺认证401、对象非本人404、非法参数400和冲突409都有HTTP/真实DB测试。</w:t>
      </w:r>
    </w:p>
    <w:p>
      <w:pPr>
        <w:widowControl/>
        <w:spacing w:after="160" w:line="348"/>
        <w:jc w:val="both"/>
      </w:pPr>
      <w:r>
        <w:t xml:space="preserve">创建至少覆盖重复/冲突键、参数化SQL、事务回滚；若基础幂等未完工，POST创建保持未发布，不以“后续M3补齐”当作M2可用验收。</w:t>
      </w:r>
    </w:p>
    <w:p>
      <w:pPr>
        <w:widowControl/>
        <w:spacing w:after="160" w:line="348"/>
        <w:jc w:val="both"/>
      </w:pPr>
      <w:r>
        <w:t xml:space="preserve">360px与桌面均能键盘操作分类→创建→列表；API契约重新生成，Web不导入Entity；示例仅虚构数据。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§3、§5～§6、§8；技术方案 §4～§6、§9；M1 认证/数据库出门条件。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M2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M2｜分类、流水创建与列表｜PRD</dc:title>
  <dc:creator>程小帮</dc:creator>
  <cp:lastModifiedBy>Un-named</cp:lastModifiedBy>
  <cp:revision>1</cp:revision>
  <dcterms:created xsi:type="dcterms:W3CDTF">2026-10-09T08:03:38.537Z</dcterms:created>
  <dcterms:modified xsi:type="dcterms:W3CDTF">2026-10-09T08:03:38.537Z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